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b/>
          <w:color w:val="auto"/>
          <w:sz w:val="72"/>
          <w:szCs w:val="72"/>
        </w:rPr>
      </w:pPr>
      <w:r>
        <w:rPr>
          <w:rFonts w:hint="eastAsia"/>
          <w:b/>
          <w:color w:val="auto"/>
          <w:sz w:val="72"/>
          <w:szCs w:val="72"/>
        </w:rPr>
        <w:t>江苏建筑职业技术学院</w:t>
      </w:r>
    </w:p>
    <w:p>
      <w:pPr>
        <w:jc w:val="center"/>
        <w:rPr>
          <w:color w:val="auto"/>
          <w:sz w:val="72"/>
          <w:szCs w:val="72"/>
        </w:rPr>
      </w:pPr>
    </w:p>
    <w:p>
      <w:pPr>
        <w:jc w:val="center"/>
        <w:rPr>
          <w:b/>
          <w:color w:val="auto"/>
          <w:sz w:val="84"/>
          <w:szCs w:val="84"/>
        </w:rPr>
      </w:pPr>
      <w:r>
        <w:rPr>
          <w:rFonts w:hint="eastAsia"/>
          <w:b/>
          <w:color w:val="auto"/>
          <w:sz w:val="84"/>
          <w:szCs w:val="84"/>
        </w:rPr>
        <w:t>招标文件</w:t>
      </w:r>
    </w:p>
    <w:p>
      <w:pPr>
        <w:jc w:val="center"/>
        <w:rPr>
          <w:color w:val="auto"/>
          <w:sz w:val="72"/>
          <w:szCs w:val="72"/>
        </w:rPr>
      </w:pPr>
    </w:p>
    <w:p>
      <w:pPr>
        <w:jc w:val="center"/>
        <w:rPr>
          <w:color w:val="auto"/>
          <w:sz w:val="72"/>
          <w:szCs w:val="72"/>
        </w:rPr>
      </w:pPr>
    </w:p>
    <w:p>
      <w:pPr>
        <w:rPr>
          <w:rFonts w:hint="eastAsia"/>
          <w:b/>
          <w:color w:val="auto"/>
          <w:sz w:val="28"/>
          <w:szCs w:val="28"/>
          <w:u w:val="single"/>
        </w:rPr>
      </w:pPr>
      <w:r>
        <w:rPr>
          <w:rFonts w:hint="eastAsia"/>
          <w:b/>
          <w:color w:val="auto"/>
          <w:sz w:val="48"/>
          <w:szCs w:val="48"/>
        </w:rPr>
        <w:t>项目：</w:t>
      </w:r>
      <w:r>
        <w:rPr>
          <w:rFonts w:hint="eastAsia"/>
          <w:b/>
          <w:color w:val="auto"/>
          <w:sz w:val="28"/>
          <w:szCs w:val="28"/>
          <w:u w:val="single"/>
        </w:rPr>
        <w:t>江苏建筑职业技术学院网络教学及</w:t>
      </w:r>
      <w:r>
        <w:rPr>
          <w:rFonts w:hint="eastAsia"/>
          <w:b/>
          <w:color w:val="auto"/>
          <w:sz w:val="28"/>
          <w:szCs w:val="28"/>
          <w:u w:val="single"/>
          <w:lang w:eastAsia="zh-CN"/>
        </w:rPr>
        <w:t>专业教学</w:t>
      </w:r>
      <w:r>
        <w:rPr>
          <w:rFonts w:hint="eastAsia"/>
          <w:b/>
          <w:color w:val="auto"/>
          <w:sz w:val="28"/>
          <w:szCs w:val="28"/>
          <w:u w:val="single"/>
        </w:rPr>
        <w:t>资源库平台建</w:t>
      </w:r>
    </w:p>
    <w:p>
      <w:pPr>
        <w:rPr>
          <w:b/>
          <w:color w:val="auto"/>
          <w:sz w:val="48"/>
          <w:szCs w:val="48"/>
          <w:u w:val="single"/>
        </w:rPr>
      </w:pPr>
      <w:r>
        <w:rPr>
          <w:rFonts w:hint="eastAsia"/>
          <w:b/>
          <w:color w:val="auto"/>
          <w:sz w:val="28"/>
          <w:szCs w:val="28"/>
          <w:u w:val="none"/>
          <w:lang w:val="en-US" w:eastAsia="zh-CN"/>
        </w:rPr>
        <w:t xml:space="preserve">          </w:t>
      </w:r>
      <w:r>
        <w:rPr>
          <w:rFonts w:hint="eastAsia"/>
          <w:b/>
          <w:color w:val="auto"/>
          <w:sz w:val="28"/>
          <w:szCs w:val="28"/>
          <w:u w:val="single"/>
        </w:rPr>
        <w:t>设项目</w:t>
      </w:r>
    </w:p>
    <w:p>
      <w:pPr>
        <w:ind w:firstLine="964" w:firstLineChars="200"/>
        <w:rPr>
          <w:b/>
          <w:color w:val="auto"/>
          <w:sz w:val="48"/>
          <w:szCs w:val="48"/>
          <w:u w:val="single"/>
        </w:rPr>
      </w:pPr>
    </w:p>
    <w:p>
      <w:pPr>
        <w:rPr>
          <w:rFonts w:hint="eastAsia"/>
          <w:b/>
          <w:color w:val="auto"/>
          <w:sz w:val="28"/>
          <w:szCs w:val="28"/>
          <w:u w:val="single"/>
        </w:rPr>
      </w:pPr>
      <w:r>
        <w:rPr>
          <w:rFonts w:hint="eastAsia"/>
          <w:b/>
          <w:color w:val="auto"/>
          <w:sz w:val="48"/>
          <w:szCs w:val="48"/>
        </w:rPr>
        <w:t>编号：</w:t>
      </w:r>
      <w:r>
        <w:rPr>
          <w:rFonts w:hint="eastAsia"/>
          <w:b/>
          <w:color w:val="auto"/>
          <w:sz w:val="28"/>
          <w:szCs w:val="28"/>
          <w:u w:val="single"/>
          <w:lang w:val="en-US" w:eastAsia="zh-CN"/>
        </w:rPr>
        <w:t xml:space="preserve">               JWC/F-20161021-069                                </w:t>
      </w: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jc w:val="center"/>
        <w:rPr>
          <w:b/>
          <w:color w:val="auto"/>
          <w:sz w:val="48"/>
          <w:szCs w:val="48"/>
        </w:rPr>
      </w:pPr>
      <w:r>
        <w:rPr>
          <w:rFonts w:hint="eastAsia"/>
          <w:b/>
          <w:color w:val="auto"/>
          <w:sz w:val="48"/>
          <w:szCs w:val="48"/>
        </w:rPr>
        <w:t>江苏建筑职业技术学院</w:t>
      </w:r>
    </w:p>
    <w:p>
      <w:pPr>
        <w:jc w:val="center"/>
        <w:rPr>
          <w:color w:val="auto"/>
          <w:sz w:val="48"/>
          <w:szCs w:val="48"/>
        </w:rPr>
      </w:pPr>
    </w:p>
    <w:p>
      <w:pPr>
        <w:jc w:val="center"/>
        <w:rPr>
          <w:b/>
          <w:color w:val="auto"/>
          <w:sz w:val="48"/>
          <w:szCs w:val="48"/>
          <w:u w:val="none"/>
        </w:rPr>
      </w:pPr>
      <w:r>
        <w:rPr>
          <w:rFonts w:hint="eastAsia"/>
          <w:color w:val="auto"/>
          <w:sz w:val="48"/>
          <w:szCs w:val="48"/>
          <w:u w:val="none"/>
        </w:rPr>
        <w:t xml:space="preserve"> 2016 </w:t>
      </w:r>
      <w:r>
        <w:rPr>
          <w:rFonts w:hint="eastAsia"/>
          <w:b/>
          <w:color w:val="auto"/>
          <w:sz w:val="48"/>
          <w:szCs w:val="48"/>
          <w:u w:val="none"/>
        </w:rPr>
        <w:t>年</w:t>
      </w:r>
      <w:r>
        <w:rPr>
          <w:rFonts w:hint="eastAsia"/>
          <w:color w:val="auto"/>
          <w:sz w:val="48"/>
          <w:szCs w:val="48"/>
          <w:u w:val="none"/>
          <w:lang w:val="en-US" w:eastAsia="zh-CN"/>
        </w:rPr>
        <w:t>10</w:t>
      </w:r>
      <w:r>
        <w:rPr>
          <w:rFonts w:hint="eastAsia"/>
          <w:b/>
          <w:color w:val="auto"/>
          <w:sz w:val="48"/>
          <w:szCs w:val="48"/>
          <w:u w:val="none"/>
        </w:rPr>
        <w:t>月</w:t>
      </w:r>
    </w:p>
    <w:p>
      <w:pPr>
        <w:jc w:val="center"/>
        <w:rPr>
          <w:b/>
          <w:color w:val="auto"/>
          <w:sz w:val="48"/>
          <w:szCs w:val="48"/>
        </w:rPr>
      </w:pPr>
      <w:r>
        <w:rPr>
          <w:rFonts w:hint="eastAsia"/>
          <w:b/>
          <w:color w:val="auto"/>
          <w:sz w:val="48"/>
          <w:szCs w:val="48"/>
        </w:rPr>
        <w:br w:type="page"/>
      </w:r>
    </w:p>
    <w:p>
      <w:pPr>
        <w:spacing w:line="360" w:lineRule="auto"/>
        <w:ind w:firstLine="1080" w:firstLineChars="300"/>
        <w:jc w:val="center"/>
        <w:rPr>
          <w:b/>
          <w:color w:val="auto"/>
          <w:sz w:val="36"/>
          <w:szCs w:val="36"/>
        </w:rPr>
      </w:pPr>
      <w:r>
        <w:rPr>
          <w:rFonts w:hint="eastAsia"/>
          <w:color w:val="auto"/>
          <w:sz w:val="36"/>
          <w:szCs w:val="36"/>
          <w:u w:val="single"/>
        </w:rPr>
        <w:t>江苏建筑职业技术学院网络教学及</w:t>
      </w:r>
      <w:r>
        <w:rPr>
          <w:rFonts w:hint="eastAsia"/>
          <w:color w:val="auto"/>
          <w:sz w:val="36"/>
          <w:szCs w:val="36"/>
          <w:u w:val="single"/>
          <w:lang w:eastAsia="zh-CN"/>
        </w:rPr>
        <w:t>专业教学资源库</w:t>
      </w:r>
      <w:r>
        <w:rPr>
          <w:rFonts w:hint="eastAsia"/>
          <w:color w:val="auto"/>
          <w:sz w:val="36"/>
          <w:szCs w:val="36"/>
          <w:u w:val="single"/>
        </w:rPr>
        <w:t>平台</w:t>
      </w:r>
      <w:r>
        <w:rPr>
          <w:rFonts w:hint="eastAsia"/>
          <w:b/>
          <w:color w:val="auto"/>
          <w:sz w:val="36"/>
          <w:szCs w:val="36"/>
        </w:rPr>
        <w:t>采购招标文件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ascii="宋体" w:hAnsi="宋体" w:eastAsia="仿宋_GB2312"/>
          <w:color w:val="auto"/>
          <w:sz w:val="28"/>
          <w:szCs w:val="28"/>
        </w:rPr>
        <w:t>为保证</w:t>
      </w:r>
      <w:r>
        <w:rPr>
          <w:rFonts w:hint="eastAsia" w:ascii="宋体" w:hAnsi="宋体" w:eastAsia="仿宋_GB2312"/>
          <w:color w:val="auto"/>
          <w:sz w:val="28"/>
          <w:szCs w:val="28"/>
          <w:u w:val="single"/>
        </w:rPr>
        <w:t xml:space="preserve">  江苏建筑职业技术学院网络教学及</w:t>
      </w:r>
      <w:r>
        <w:rPr>
          <w:rFonts w:hint="eastAsia" w:ascii="宋体" w:hAnsi="宋体" w:eastAsia="仿宋_GB2312"/>
          <w:color w:val="auto"/>
          <w:sz w:val="28"/>
          <w:szCs w:val="28"/>
          <w:u w:val="single"/>
          <w:lang w:eastAsia="zh-CN"/>
        </w:rPr>
        <w:t>专业教学资源库</w:t>
      </w:r>
      <w:r>
        <w:rPr>
          <w:rFonts w:hint="eastAsia" w:ascii="宋体" w:hAnsi="宋体" w:eastAsia="仿宋_GB2312"/>
          <w:color w:val="auto"/>
          <w:sz w:val="28"/>
          <w:szCs w:val="28"/>
          <w:u w:val="single"/>
        </w:rPr>
        <w:t>平台建设</w:t>
      </w:r>
      <w:r>
        <w:rPr>
          <w:rFonts w:hint="eastAsia" w:ascii="宋体" w:hAnsi="宋体" w:eastAsia="仿宋_GB2312"/>
          <w:color w:val="auto"/>
          <w:sz w:val="28"/>
          <w:szCs w:val="28"/>
        </w:rPr>
        <w:t>项目进度和质量，现决定</w:t>
      </w:r>
      <w:r>
        <w:rPr>
          <w:rFonts w:hint="eastAsia" w:eastAsia="仿宋_GB2312"/>
          <w:color w:val="auto"/>
          <w:sz w:val="28"/>
          <w:szCs w:val="28"/>
        </w:rPr>
        <w:t>以公开招标的方式采购该项目所需</w:t>
      </w:r>
      <w:r>
        <w:rPr>
          <w:rFonts w:hint="eastAsia" w:ascii="宋体" w:hAnsi="宋体" w:eastAsia="仿宋_GB2312"/>
          <w:color w:val="auto"/>
          <w:sz w:val="28"/>
          <w:szCs w:val="28"/>
          <w:u w:val="single"/>
        </w:rPr>
        <w:t xml:space="preserve">  网络教学及</w:t>
      </w:r>
      <w:r>
        <w:rPr>
          <w:rFonts w:hint="eastAsia" w:ascii="宋体" w:hAnsi="宋体" w:eastAsia="仿宋_GB2312"/>
          <w:color w:val="auto"/>
          <w:sz w:val="28"/>
          <w:szCs w:val="28"/>
          <w:u w:val="single"/>
          <w:lang w:eastAsia="zh-CN"/>
        </w:rPr>
        <w:t>专业教学资源库</w:t>
      </w:r>
      <w:r>
        <w:rPr>
          <w:rFonts w:hint="eastAsia" w:ascii="宋体" w:hAnsi="宋体" w:eastAsia="仿宋_GB2312"/>
          <w:color w:val="auto"/>
          <w:sz w:val="28"/>
          <w:szCs w:val="28"/>
          <w:u w:val="single"/>
        </w:rPr>
        <w:t xml:space="preserve">平台等       </w:t>
      </w:r>
      <w:r>
        <w:rPr>
          <w:rFonts w:hint="eastAsia" w:ascii="宋体" w:hAnsi="宋体"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color w:val="auto"/>
          <w:sz w:val="28"/>
          <w:szCs w:val="28"/>
        </w:rPr>
        <w:t xml:space="preserve"> 本次招标的招标人为江苏建筑职业技术学院。</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r>
        <w:rPr>
          <w:rFonts w:hint="eastAsia" w:ascii="宋体" w:hAnsi="宋体" w:eastAsia="仿宋_GB2312"/>
          <w:color w:val="auto"/>
          <w:sz w:val="28"/>
          <w:szCs w:val="28"/>
          <w:u w:val="single"/>
        </w:rPr>
        <w:t>网络教学及</w:t>
      </w:r>
      <w:r>
        <w:rPr>
          <w:rFonts w:hint="eastAsia" w:ascii="宋体" w:hAnsi="宋体" w:eastAsia="仿宋_GB2312"/>
          <w:color w:val="auto"/>
          <w:sz w:val="28"/>
          <w:szCs w:val="28"/>
          <w:u w:val="single"/>
          <w:lang w:eastAsia="zh-CN"/>
        </w:rPr>
        <w:t>专业教学资源库</w:t>
      </w:r>
      <w:r>
        <w:rPr>
          <w:rFonts w:hint="eastAsia" w:ascii="宋体" w:hAnsi="宋体" w:eastAsia="仿宋_GB2312"/>
          <w:color w:val="auto"/>
          <w:sz w:val="28"/>
          <w:szCs w:val="28"/>
          <w:u w:val="single"/>
        </w:rPr>
        <w:t>平台</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包括供货、运输、装卸、服务，税费等一切费用）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具有独立法人资格，且具有相关产品生产或代理资质；</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国家规定的相关认证书复印件（无规定的除外）、相关检测报告、产品和服务的详细介绍等；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产品质量检测报告及其它可证明其产品和服务符合性的有效文件或其复印件； </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j) </w:t>
      </w:r>
      <w:r>
        <w:rPr>
          <w:rFonts w:hint="eastAsia" w:eastAsia="仿宋_GB2312"/>
          <w:color w:val="auto"/>
          <w:sz w:val="28"/>
          <w:szCs w:val="28"/>
        </w:rPr>
        <w:t>证明投标人资信、业绩等的有效文件或其复印件；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k)</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：投标书、投标报价明细表中的报价应用人民币表示。投标人应在投标报价明细表中写明投标产品的单价和投标总价。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一份说明所有细节的清单。包括：投标产品的型号、规格、技术参数、技术条件、必要的图纸资料说明；</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产品和服务采用的标准、主要的监测资源。</w:t>
      </w:r>
    </w:p>
    <w:p>
      <w:pPr>
        <w:spacing w:line="360" w:lineRule="auto"/>
        <w:ind w:firstLine="560" w:firstLineChars="200"/>
        <w:rPr>
          <w:rFonts w:eastAsia="仿宋_GB2312"/>
          <w:color w:val="auto"/>
          <w:sz w:val="28"/>
          <w:szCs w:val="28"/>
        </w:rPr>
      </w:pPr>
      <w:r>
        <w:rPr>
          <w:rFonts w:hint="eastAsia" w:eastAsia="仿宋_GB2312"/>
          <w:color w:val="auto"/>
          <w:sz w:val="28"/>
          <w:szCs w:val="28"/>
        </w:rPr>
        <w:t>注：如投标人为经销商，则应填报投标人自身的主要的监测资源和其所经销的产品的生产厂商的主要的监测资源。</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投标文件须打印并装订，报送正本一册、副本四册(副本可复印)。每份投标文件须清楚地标明“正本”或“副本”字样，正本与副本必须一致；若正本与副本不一致，以正本为准。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投标文件必须密封在专门的密封袋中，密封袋骑缝处用封条密封，加盖单位公章及法定代表人章，并在封袋正面写明招标人名称、项目名称及投标人名称。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投标人承诺的质量保证和售后服务费用，以及所购产品和服务所需缴纳的所有税费和货物发送到指定地点并安装调试所需的一切费用（包括技术资料和技术配合费、技术服务费、设计联络会费用、装车费、运费、卸车费、包装费等）。</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 xml:space="preserve"> 产品的价格为产品和服务的最终交付价格，不受任何因素的影响而调整。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ind w:firstLine="560" w:firstLineChars="200"/>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color w:val="auto"/>
          <w:sz w:val="28"/>
          <w:szCs w:val="28"/>
        </w:rPr>
        <w:t>投标人在报送投标文件的同时，需交纳投标保证金（现金）人民币</w:t>
      </w:r>
      <w:r>
        <w:rPr>
          <w:rFonts w:hint="eastAsia" w:eastAsia="仿宋_GB2312"/>
          <w:color w:val="auto"/>
          <w:sz w:val="28"/>
          <w:szCs w:val="28"/>
          <w:u w:val="single"/>
        </w:rPr>
        <w:t xml:space="preserve">   </w:t>
      </w:r>
      <w:r>
        <w:rPr>
          <w:rFonts w:hint="eastAsia" w:eastAsia="仿宋_GB2312"/>
          <w:color w:val="auto"/>
          <w:sz w:val="28"/>
          <w:szCs w:val="28"/>
          <w:u w:val="single"/>
          <w:lang w:eastAsia="zh-CN"/>
        </w:rPr>
        <w:t>壹万</w:t>
      </w:r>
      <w:r>
        <w:rPr>
          <w:rFonts w:hint="eastAsia" w:eastAsia="仿宋_GB2312"/>
          <w:color w:val="auto"/>
          <w:sz w:val="28"/>
          <w:szCs w:val="28"/>
        </w:rPr>
        <w:t>元（自带信封，现场封装）。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8.3</w:t>
      </w:r>
      <w:r>
        <w:rPr>
          <w:rFonts w:hint="eastAsia" w:eastAsia="仿宋_GB2312"/>
          <w:color w:val="auto"/>
          <w:sz w:val="28"/>
          <w:szCs w:val="28"/>
        </w:rPr>
        <w:t>中标投标人的</w:t>
      </w:r>
      <w:r>
        <w:rPr>
          <w:rFonts w:hint="eastAsia" w:eastAsia="仿宋_GB2312"/>
          <w:color w:val="auto"/>
          <w:sz w:val="28"/>
          <w:szCs w:val="28"/>
          <w:lang w:eastAsia="zh-CN"/>
        </w:rPr>
        <w:t>需交</w:t>
      </w:r>
      <w:r>
        <w:rPr>
          <w:rFonts w:hint="eastAsia" w:eastAsia="仿宋_GB2312"/>
          <w:color w:val="auto"/>
          <w:sz w:val="28"/>
          <w:szCs w:val="28"/>
        </w:rPr>
        <w:t>履约保证金</w:t>
      </w:r>
      <w:r>
        <w:rPr>
          <w:rFonts w:hint="eastAsia" w:eastAsia="仿宋_GB2312"/>
          <w:color w:val="auto"/>
          <w:sz w:val="28"/>
          <w:szCs w:val="28"/>
          <w:u w:val="single"/>
        </w:rPr>
        <w:t>贰万</w:t>
      </w:r>
      <w:r>
        <w:rPr>
          <w:rFonts w:hint="eastAsia" w:eastAsia="仿宋_GB2312"/>
          <w:color w:val="auto"/>
          <w:sz w:val="28"/>
          <w:szCs w:val="28"/>
          <w:u w:val="single"/>
          <w:lang w:eastAsia="zh-CN"/>
        </w:rPr>
        <w:t>元</w:t>
      </w:r>
      <w:r>
        <w:rPr>
          <w:rFonts w:hint="eastAsia" w:eastAsia="仿宋_GB2312"/>
          <w:color w:val="auto"/>
          <w:sz w:val="28"/>
          <w:szCs w:val="28"/>
        </w:rPr>
        <w:t>，在切实履约且所供产品和服务验收合格后一周内予以退还，不计利息</w:t>
      </w:r>
      <w:r>
        <w:rPr>
          <w:rFonts w:hint="eastAsia" w:eastAsia="仿宋_GB2312"/>
          <w:color w:val="auto"/>
          <w:sz w:val="28"/>
          <w:szCs w:val="28"/>
          <w:lang w:val="en-US" w:eastAsia="zh-CN"/>
        </w:rPr>
        <w:t>(招标人收到履约保证金后退还投标保证金）</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ascii="仿宋" w:hAnsi="仿宋" w:eastAsia="仿宋"/>
          <w:color w:val="auto"/>
          <w:sz w:val="28"/>
        </w:rPr>
        <w:t>未能按期供货，造成学校工作计划无法按期完成的。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9.1</w:t>
      </w:r>
      <w:r>
        <w:rPr>
          <w:rFonts w:hint="eastAsia" w:eastAsia="仿宋_GB2312"/>
          <w:color w:val="auto"/>
          <w:sz w:val="28"/>
          <w:szCs w:val="28"/>
        </w:rPr>
        <w:t xml:space="preserve"> 投标人如对招标文件的条款有疑问，应在收到标书</w:t>
      </w:r>
      <w:r>
        <w:rPr>
          <w:rFonts w:ascii="Times New Roman" w:hAnsi="Times New Roman" w:eastAsia="仿宋_GB2312" w:cs="Times New Roman"/>
          <w:color w:val="auto"/>
          <w:sz w:val="28"/>
          <w:szCs w:val="28"/>
        </w:rPr>
        <w:t>24</w:t>
      </w:r>
      <w:r>
        <w:rPr>
          <w:rFonts w:hint="eastAsia" w:eastAsia="仿宋_GB2312"/>
          <w:color w:val="auto"/>
          <w:sz w:val="28"/>
          <w:szCs w:val="28"/>
        </w:rPr>
        <w:t>小时（工作时间）内以书面形式提交招标人。</w:t>
      </w:r>
    </w:p>
    <w:p>
      <w:pPr>
        <w:spacing w:line="360" w:lineRule="auto"/>
        <w:rPr>
          <w:rFonts w:hint="eastAsia" w:eastAsia="仿宋_GB2312"/>
          <w:color w:val="auto"/>
          <w:sz w:val="28"/>
          <w:szCs w:val="28"/>
        </w:rPr>
      </w:pPr>
      <w:r>
        <w:rPr>
          <w:rFonts w:ascii="Times New Roman" w:hAnsi="Times New Roman" w:eastAsia="仿宋_GB2312" w:cs="Times New Roman"/>
          <w:b/>
          <w:color w:val="auto"/>
          <w:sz w:val="28"/>
          <w:szCs w:val="28"/>
        </w:rPr>
        <w:t>9.2</w:t>
      </w:r>
      <w:r>
        <w:rPr>
          <w:rFonts w:hint="eastAsia" w:eastAsia="仿宋_GB2312"/>
          <w:color w:val="auto"/>
          <w:sz w:val="28"/>
          <w:szCs w:val="28"/>
          <w:u w:val="single"/>
        </w:rPr>
        <w:t xml:space="preserve"> </w:t>
      </w:r>
      <w:r>
        <w:rPr>
          <w:rFonts w:hint="eastAsia" w:eastAsia="仿宋_GB2312"/>
          <w:color w:val="auto"/>
          <w:sz w:val="28"/>
          <w:szCs w:val="28"/>
        </w:rPr>
        <w:t>2016年</w:t>
      </w:r>
      <w:r>
        <w:rPr>
          <w:rFonts w:hint="eastAsia" w:eastAsia="仿宋_GB2312"/>
          <w:color w:val="auto"/>
          <w:sz w:val="28"/>
          <w:szCs w:val="28"/>
          <w:lang w:val="en-US" w:eastAsia="zh-CN"/>
        </w:rPr>
        <w:t>11</w:t>
      </w:r>
      <w:r>
        <w:rPr>
          <w:rFonts w:hint="eastAsia" w:eastAsia="仿宋_GB2312"/>
          <w:color w:val="auto"/>
          <w:sz w:val="28"/>
          <w:szCs w:val="28"/>
        </w:rPr>
        <w:t>月</w:t>
      </w:r>
      <w:r>
        <w:rPr>
          <w:rFonts w:hint="eastAsia" w:eastAsia="仿宋_GB2312"/>
          <w:color w:val="auto"/>
          <w:sz w:val="28"/>
          <w:szCs w:val="28"/>
          <w:lang w:val="en-US" w:eastAsia="zh-CN"/>
        </w:rPr>
        <w:t>1</w:t>
      </w:r>
      <w:r>
        <w:rPr>
          <w:rFonts w:hint="eastAsia" w:eastAsia="仿宋_GB2312"/>
          <w:color w:val="auto"/>
          <w:sz w:val="28"/>
          <w:szCs w:val="28"/>
        </w:rPr>
        <w:t xml:space="preserve">日 11:00   </w:t>
      </w:r>
      <w:r>
        <w:rPr>
          <w:rFonts w:hint="eastAsia" w:eastAsia="仿宋_GB2312"/>
          <w:color w:val="auto"/>
          <w:sz w:val="28"/>
          <w:szCs w:val="28"/>
        </w:rPr>
        <w:t>之前答疑，联系人：戚老师  联</w:t>
      </w:r>
    </w:p>
    <w:p>
      <w:pPr>
        <w:spacing w:line="360" w:lineRule="auto"/>
        <w:rPr>
          <w:rFonts w:hint="eastAsia" w:eastAsia="仿宋_GB2312"/>
          <w:color w:val="auto"/>
          <w:sz w:val="28"/>
          <w:szCs w:val="28"/>
        </w:rPr>
      </w:pPr>
      <w:r>
        <w:rPr>
          <w:rFonts w:hint="eastAsia" w:eastAsia="仿宋_GB2312"/>
          <w:color w:val="auto"/>
          <w:sz w:val="28"/>
          <w:szCs w:val="28"/>
        </w:rPr>
        <w:t>系电话： 18796389966</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投标文件报送截止时间及送达地点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10.1</w:t>
      </w:r>
      <w:r>
        <w:rPr>
          <w:rFonts w:hint="eastAsia" w:eastAsia="仿宋_GB2312"/>
          <w:color w:val="auto"/>
          <w:sz w:val="28"/>
          <w:szCs w:val="28"/>
        </w:rPr>
        <w:t xml:space="preserve"> 截止时间：</w:t>
      </w:r>
      <w:bookmarkStart w:id="0" w:name="OLE_LINK1"/>
      <w:r>
        <w:rPr>
          <w:rFonts w:hint="eastAsia" w:eastAsia="仿宋_GB2312"/>
          <w:color w:val="auto"/>
          <w:sz w:val="28"/>
          <w:szCs w:val="28"/>
          <w:u w:val="single"/>
        </w:rPr>
        <w:t xml:space="preserve">开标前半小时 </w:t>
      </w:r>
      <w:bookmarkEnd w:id="0"/>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10.2</w:t>
      </w:r>
      <w:r>
        <w:rPr>
          <w:rFonts w:hint="eastAsia" w:eastAsia="仿宋_GB2312"/>
          <w:color w:val="auto"/>
          <w:sz w:val="28"/>
          <w:szCs w:val="28"/>
        </w:rPr>
        <w:t xml:space="preserve"> 送达地点：</w:t>
      </w:r>
      <w:r>
        <w:rPr>
          <w:rFonts w:hint="eastAsia" w:eastAsia="仿宋_GB2312"/>
          <w:color w:val="auto"/>
          <w:sz w:val="28"/>
          <w:szCs w:val="28"/>
          <w:u w:val="single"/>
        </w:rPr>
        <w:t xml:space="preserve">  江苏建筑职业技术学院行政楼4 层403 室 </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11</w:t>
      </w:r>
      <w:r>
        <w:rPr>
          <w:rFonts w:hint="eastAsia" w:eastAsia="仿宋_GB2312"/>
          <w:b/>
          <w:color w:val="auto"/>
          <w:sz w:val="28"/>
          <w:szCs w:val="28"/>
        </w:rPr>
        <w:t xml:space="preserve"> 投标人资格审查</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11.1</w:t>
      </w:r>
      <w:r>
        <w:rPr>
          <w:rFonts w:hint="eastAsia" w:eastAsia="仿宋_GB2312"/>
          <w:color w:val="auto"/>
          <w:sz w:val="28"/>
          <w:szCs w:val="28"/>
        </w:rPr>
        <w:t>投标人资格审查时间</w:t>
      </w:r>
      <w:r>
        <w:rPr>
          <w:rFonts w:hint="eastAsia" w:eastAsia="仿宋_GB2312"/>
          <w:color w:val="auto"/>
          <w:sz w:val="28"/>
          <w:szCs w:val="28"/>
          <w:u w:val="single"/>
        </w:rPr>
        <w:t xml:space="preserve">  开标前半小时      </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11.2</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专业资质证书原件或副本原件；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授权委托书</w:t>
      </w:r>
      <w:r>
        <w:rPr>
          <w:rFonts w:eastAsia="仿宋_GB2312"/>
          <w:color w:val="auto"/>
          <w:sz w:val="28"/>
          <w:szCs w:val="28"/>
        </w:rPr>
        <w:t>(</w:t>
      </w:r>
      <w:r>
        <w:rPr>
          <w:rFonts w:hint="eastAsia" w:eastAsia="仿宋_GB2312"/>
          <w:color w:val="auto"/>
          <w:sz w:val="28"/>
          <w:szCs w:val="28"/>
        </w:rPr>
        <w:t>如有授权</w:t>
      </w:r>
      <w:r>
        <w:rPr>
          <w:rFonts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投标产品的代理或经销资质证书；</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国家规定的相关认证书原件（无规定的除外）。</w:t>
      </w:r>
    </w:p>
    <w:p>
      <w:pPr>
        <w:spacing w:line="360" w:lineRule="auto"/>
        <w:ind w:firstLine="560" w:firstLineChars="200"/>
        <w:rPr>
          <w:rFonts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w:t>
      </w:r>
      <w:r>
        <w:rPr>
          <w:rFonts w:hint="eastAsia" w:eastAsia="仿宋_GB2312"/>
          <w:b/>
          <w:color w:val="auto"/>
          <w:sz w:val="28"/>
          <w:szCs w:val="28"/>
        </w:rPr>
        <w:t xml:space="preserve"> 开标、评标、定标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w:t>
      </w:r>
      <w:r>
        <w:rPr>
          <w:rFonts w:hint="eastAsia" w:eastAsia="仿宋_GB2312"/>
          <w:color w:val="auto"/>
          <w:sz w:val="28"/>
          <w:szCs w:val="28"/>
        </w:rPr>
        <w:t xml:space="preserve"> 投标人注意事项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12.1.1</w:t>
      </w:r>
      <w:r>
        <w:rPr>
          <w:rFonts w:hint="eastAsia" w:eastAsia="仿宋_GB2312"/>
          <w:color w:val="auto"/>
          <w:sz w:val="28"/>
          <w:szCs w:val="28"/>
        </w:rPr>
        <w:t xml:space="preserve"> 通过资格审查的投标人方可参加开标。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12.1.2</w:t>
      </w:r>
      <w:r>
        <w:rPr>
          <w:rFonts w:hint="eastAsia" w:eastAsia="仿宋_GB2312"/>
          <w:color w:val="auto"/>
          <w:sz w:val="28"/>
          <w:szCs w:val="28"/>
        </w:rPr>
        <w:t xml:space="preserve"> 参加本次投标的法定代表人或委托代理人必须参加投标活动的全过程。</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12.1.3</w:t>
      </w:r>
      <w:r>
        <w:rPr>
          <w:rFonts w:hint="eastAsia" w:eastAsia="仿宋_GB2312"/>
          <w:color w:val="auto"/>
          <w:sz w:val="28"/>
          <w:szCs w:val="28"/>
        </w:rPr>
        <w:t>参加投标的法定代表人或委托代理人必须提供按招标文件要求制作并密封的投标文件。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12.1.4</w:t>
      </w:r>
      <w:r>
        <w:rPr>
          <w:rFonts w:hint="eastAsia" w:eastAsia="仿宋_GB2312"/>
          <w:color w:val="auto"/>
          <w:sz w:val="28"/>
          <w:szCs w:val="28"/>
        </w:rPr>
        <w:t>参加投标的法定代表人或委托代理人必须在投标时出示本人身份证件，交纳投标保证金。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12.1.5</w:t>
      </w:r>
      <w:r>
        <w:rPr>
          <w:rFonts w:hint="eastAsia" w:eastAsia="仿宋_GB2312"/>
          <w:color w:val="auto"/>
          <w:sz w:val="28"/>
          <w:szCs w:val="28"/>
        </w:rPr>
        <w:t xml:space="preserve"> 无特殊理由投标文件未按规定时间送达的将取消投标资格。</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eastAsia="仿宋_GB2312"/>
          <w:color w:val="auto"/>
          <w:sz w:val="28"/>
          <w:szCs w:val="28"/>
        </w:rPr>
        <w:t xml:space="preserve"> 开标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12.2.1</w:t>
      </w:r>
      <w:r>
        <w:rPr>
          <w:rFonts w:hint="eastAsia" w:eastAsia="仿宋_GB2312"/>
          <w:color w:val="auto"/>
          <w:sz w:val="28"/>
          <w:szCs w:val="28"/>
        </w:rPr>
        <w:t xml:space="preserve"> 开标时间：</w:t>
      </w:r>
      <w:r>
        <w:rPr>
          <w:rFonts w:hint="eastAsia" w:eastAsia="仿宋_GB2312"/>
          <w:color w:val="auto"/>
          <w:sz w:val="28"/>
          <w:szCs w:val="28"/>
          <w:u w:val="single"/>
        </w:rPr>
        <w:t>2016年1</w:t>
      </w:r>
      <w:r>
        <w:rPr>
          <w:rFonts w:hint="eastAsia" w:eastAsia="仿宋_GB2312"/>
          <w:color w:val="auto"/>
          <w:sz w:val="28"/>
          <w:szCs w:val="28"/>
          <w:u w:val="single"/>
          <w:lang w:val="en-US" w:eastAsia="zh-CN"/>
        </w:rPr>
        <w:t>1</w:t>
      </w:r>
      <w:r>
        <w:rPr>
          <w:rFonts w:hint="eastAsia" w:eastAsia="仿宋_GB2312"/>
          <w:color w:val="auto"/>
          <w:sz w:val="28"/>
          <w:szCs w:val="28"/>
          <w:u w:val="single"/>
        </w:rPr>
        <w:t>月1</w:t>
      </w:r>
      <w:r>
        <w:rPr>
          <w:rFonts w:hint="eastAsia" w:eastAsia="仿宋_GB2312"/>
          <w:color w:val="auto"/>
          <w:sz w:val="28"/>
          <w:szCs w:val="28"/>
          <w:u w:val="single"/>
          <w:lang w:val="en-US" w:eastAsia="zh-CN"/>
        </w:rPr>
        <w:t>1</w:t>
      </w:r>
      <w:r>
        <w:rPr>
          <w:rFonts w:hint="eastAsia" w:eastAsia="仿宋_GB2312"/>
          <w:color w:val="auto"/>
          <w:sz w:val="28"/>
          <w:szCs w:val="28"/>
          <w:u w:val="single"/>
        </w:rPr>
        <w:t>日 1</w:t>
      </w:r>
      <w:r>
        <w:rPr>
          <w:rFonts w:hint="eastAsia" w:eastAsia="仿宋_GB2312"/>
          <w:color w:val="auto"/>
          <w:sz w:val="28"/>
          <w:szCs w:val="28"/>
          <w:u w:val="single"/>
          <w:lang w:val="en-US" w:eastAsia="zh-CN"/>
        </w:rPr>
        <w:t>4</w:t>
      </w:r>
      <w:r>
        <w:rPr>
          <w:rFonts w:hint="eastAsia" w:eastAsia="仿宋_GB2312"/>
          <w:color w:val="auto"/>
          <w:sz w:val="28"/>
          <w:szCs w:val="28"/>
          <w:u w:val="single"/>
        </w:rPr>
        <w:t>:</w:t>
      </w:r>
      <w:r>
        <w:rPr>
          <w:rFonts w:hint="eastAsia" w:eastAsia="仿宋_GB2312"/>
          <w:color w:val="auto"/>
          <w:sz w:val="28"/>
          <w:szCs w:val="28"/>
          <w:u w:val="single"/>
          <w:lang w:val="en-US" w:eastAsia="zh-CN"/>
        </w:rPr>
        <w:t>3</w:t>
      </w:r>
      <w:r>
        <w:rPr>
          <w:rFonts w:hint="eastAsia" w:eastAsia="仿宋_GB2312"/>
          <w:color w:val="auto"/>
          <w:sz w:val="28"/>
          <w:szCs w:val="28"/>
          <w:u w:val="single"/>
        </w:rPr>
        <w:t xml:space="preserve">0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12.2.2</w:t>
      </w:r>
      <w:r>
        <w:rPr>
          <w:rFonts w:hint="eastAsia" w:eastAsia="仿宋_GB2312"/>
          <w:color w:val="auto"/>
          <w:sz w:val="28"/>
          <w:szCs w:val="28"/>
        </w:rPr>
        <w:t>开标地点：</w:t>
      </w:r>
      <w:r>
        <w:rPr>
          <w:rFonts w:hint="eastAsia" w:eastAsia="仿宋_GB2312"/>
          <w:color w:val="auto"/>
          <w:sz w:val="28"/>
          <w:szCs w:val="28"/>
          <w:u w:val="single"/>
        </w:rPr>
        <w:t xml:space="preserve"> 江苏建筑职业技术学院行政楼4 层403 室   </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12.2.3</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12.2.4</w:t>
      </w:r>
      <w:r>
        <w:rPr>
          <w:rFonts w:hint="eastAsia" w:eastAsia="仿宋_GB2312"/>
          <w:color w:val="auto"/>
          <w:sz w:val="28"/>
          <w:szCs w:val="28"/>
        </w:rPr>
        <w:t>投标文件的审查</w:t>
      </w:r>
    </w:p>
    <w:p>
      <w:pPr>
        <w:spacing w:line="360" w:lineRule="auto"/>
        <w:jc w:val="left"/>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.1</w:t>
      </w:r>
      <w:r>
        <w:rPr>
          <w:rFonts w:hint="eastAsia" w:eastAsia="仿宋_GB2312"/>
          <w:color w:val="auto"/>
          <w:sz w:val="28"/>
          <w:szCs w:val="28"/>
        </w:rPr>
        <w:t>开标后，招标工作人员将审查投标文件是否完整，是否有计算错误，文件是否恰当地签署，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 xml:space="preserve"> 正偏离 </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12.2.</w:t>
      </w:r>
      <w:r>
        <w:rPr>
          <w:rFonts w:hint="eastAsia" w:ascii="Times New Roman" w:hAnsi="Times New Roman" w:eastAsia="仿宋_GB2312" w:cs="Times New Roman"/>
          <w:b/>
          <w:color w:val="auto"/>
          <w:sz w:val="28"/>
          <w:szCs w:val="28"/>
        </w:rPr>
        <w:t>4</w:t>
      </w:r>
      <w:r>
        <w:rPr>
          <w:rFonts w:ascii="Times New Roman" w:hAnsi="Times New Roman" w:eastAsia="仿宋_GB2312" w:cs="Times New Roman"/>
          <w:b/>
          <w:color w:val="auto"/>
          <w:sz w:val="28"/>
          <w:szCs w:val="28"/>
        </w:rPr>
        <w:t>.3</w:t>
      </w:r>
      <w:r>
        <w:rPr>
          <w:rFonts w:hint="eastAsia" w:eastAsia="仿宋_GB2312"/>
          <w:color w:val="auto"/>
          <w:sz w:val="28"/>
          <w:szCs w:val="28"/>
        </w:rPr>
        <w:t>招标人确定投标文件的响应性是基于投标文件本身，而不依靠外部的补充证据。</w:t>
      </w:r>
    </w:p>
    <w:p>
      <w:pPr>
        <w:spacing w:line="360" w:lineRule="auto"/>
        <w:ind w:firstLine="560" w:firstLineChars="200"/>
        <w:rPr>
          <w:rFonts w:eastAsia="仿宋_GB2312"/>
          <w:color w:val="auto"/>
          <w:sz w:val="28"/>
          <w:szCs w:val="28"/>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w:t>
      </w:r>
      <w:r>
        <w:rPr>
          <w:rFonts w:hint="eastAsia" w:eastAsia="仿宋_GB2312"/>
          <w:color w:val="auto"/>
          <w:sz w:val="28"/>
          <w:szCs w:val="28"/>
        </w:rPr>
        <w:t xml:space="preserve"> 评标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12.3.1</w:t>
      </w:r>
      <w:r>
        <w:rPr>
          <w:rFonts w:hint="eastAsia" w:eastAsia="仿宋_GB2312"/>
          <w:color w:val="auto"/>
          <w:sz w:val="28"/>
          <w:szCs w:val="28"/>
        </w:rPr>
        <w:t>招标人将对通过投标文件审查且被确定为实质性响应的投标进行评议。</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招标委员会  </w:t>
      </w:r>
      <w:r>
        <w:rPr>
          <w:rFonts w:hint="eastAsia" w:eastAsia="仿宋_GB2312"/>
          <w:color w:val="auto"/>
          <w:sz w:val="28"/>
          <w:szCs w:val="28"/>
        </w:rPr>
        <w:t>按规定确定评标委员会人员组成（除有明确规定必须参加者外，均从专家库中随机抽取）。</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12.3.3</w:t>
      </w:r>
      <w:r>
        <w:rPr>
          <w:rFonts w:hint="eastAsia" w:eastAsia="仿宋_GB2312"/>
          <w:color w:val="auto"/>
          <w:sz w:val="28"/>
          <w:szCs w:val="28"/>
        </w:rPr>
        <w:t xml:space="preserve"> 评标办法</w:t>
      </w:r>
    </w:p>
    <w:p>
      <w:pPr>
        <w:spacing w:line="360" w:lineRule="auto"/>
        <w:ind w:firstLine="560" w:firstLineChars="200"/>
        <w:rPr>
          <w:rFonts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12.3.4</w:t>
      </w:r>
      <w:r>
        <w:rPr>
          <w:rFonts w:hint="eastAsia" w:eastAsia="仿宋_GB2312"/>
          <w:color w:val="auto"/>
          <w:sz w:val="28"/>
          <w:szCs w:val="28"/>
        </w:rPr>
        <w:t xml:space="preserve"> 投标文件的澄清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12.3.4.1</w:t>
      </w:r>
      <w:r>
        <w:rPr>
          <w:rFonts w:hint="eastAsia" w:eastAsia="仿宋_GB2312"/>
          <w:color w:val="auto"/>
          <w:sz w:val="28"/>
          <w:szCs w:val="28"/>
        </w:rPr>
        <w:t>为切实落实评标原则，招标人有权要求投标人以书面形式对其投标文件进行澄清。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12.3.5</w:t>
      </w:r>
      <w:r>
        <w:rPr>
          <w:rFonts w:hint="eastAsia" w:eastAsia="仿宋_GB2312"/>
          <w:color w:val="auto"/>
          <w:sz w:val="28"/>
          <w:szCs w:val="28"/>
        </w:rPr>
        <w:t>评标小组按照评标办法对参加评标的投标进行评议后确定各投标人的排序，并当场公布。</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w:t>
      </w:r>
      <w:r>
        <w:rPr>
          <w:rFonts w:hint="eastAsia" w:eastAsia="仿宋_GB2312"/>
          <w:color w:val="auto"/>
          <w:sz w:val="28"/>
          <w:szCs w:val="28"/>
        </w:rPr>
        <w:t xml:space="preserve"> 定标</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招标人根据评标结果，选择履行合同能力强，报价对招标人有利（不一定为最低报价），能够提供最佳的服务，产品质量好、信誉好的投标人作为中标候选人，并当场公布。</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12.4.2</w:t>
      </w:r>
      <w:r>
        <w:rPr>
          <w:rFonts w:hint="eastAsia" w:eastAsia="仿宋_GB2312"/>
          <w:color w:val="auto"/>
          <w:sz w:val="28"/>
          <w:szCs w:val="28"/>
        </w:rPr>
        <w:t xml:space="preserve"> 中标公告将在评标结束后</w:t>
      </w:r>
      <w:r>
        <w:rPr>
          <w:rFonts w:ascii="Times New Roman" w:hAnsi="Times New Roman" w:eastAsia="仿宋_GB2312" w:cs="Times New Roman"/>
          <w:color w:val="auto"/>
          <w:sz w:val="28"/>
          <w:szCs w:val="28"/>
        </w:rPr>
        <w:t>2</w:t>
      </w:r>
      <w:r>
        <w:rPr>
          <w:rFonts w:hint="eastAsia" w:eastAsia="仿宋_GB2312"/>
          <w:color w:val="auto"/>
          <w:sz w:val="28"/>
          <w:szCs w:val="28"/>
        </w:rPr>
        <w:t>日内在投标人网站主页发布。</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ascii="宋体" w:hAnsi="宋体" w:eastAsia="仿宋_GB2312"/>
          <w:color w:val="auto"/>
          <w:sz w:val="28"/>
          <w:szCs w:val="28"/>
          <w:u w:val="single"/>
        </w:rPr>
        <w:t xml:space="preserve"> 招标工作委员会  </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评标后如当场宣布中标人，则不再另行通知；未当场宣布的，则中标公告发布的同时电话通知中标人。中标人应在中标公示期满后</w:t>
      </w:r>
      <w:r>
        <w:rPr>
          <w:rFonts w:ascii="Times New Roman" w:hAnsi="Times New Roman" w:eastAsia="仿宋_GB2312" w:cs="Times New Roman"/>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中标人应在规定时间内派员到招标人指定地点与招标人签订合同。签订合同时，中标人代表应出示法定代表人证书或授权委托书及本人身份证件，合同经双方法定代表人或其授权的代理人签署，加盖公章后生效。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分期付款，中标人送货到指定地点并完成安装调试，经</w:t>
      </w:r>
      <w:r>
        <w:rPr>
          <w:rFonts w:hint="eastAsia" w:eastAsia="仿宋_GB2312"/>
          <w:color w:val="auto"/>
          <w:sz w:val="28"/>
          <w:szCs w:val="28"/>
          <w:u w:val="single"/>
        </w:rPr>
        <w:t>学校组织相关部门</w:t>
      </w:r>
      <w:r>
        <w:rPr>
          <w:rFonts w:hint="eastAsia" w:eastAsia="仿宋_GB2312"/>
          <w:color w:val="auto"/>
          <w:sz w:val="28"/>
          <w:szCs w:val="28"/>
        </w:rPr>
        <w:t>验收合格后</w:t>
      </w:r>
      <w:r>
        <w:rPr>
          <w:rFonts w:hint="eastAsia" w:eastAsia="仿宋_GB2312"/>
          <w:color w:val="auto"/>
          <w:sz w:val="28"/>
          <w:szCs w:val="28"/>
          <w:lang w:eastAsia="zh-CN"/>
        </w:rPr>
        <w:t>支</w:t>
      </w:r>
      <w:r>
        <w:rPr>
          <w:rFonts w:hint="eastAsia" w:eastAsia="仿宋_GB2312"/>
          <w:color w:val="auto"/>
          <w:sz w:val="28"/>
          <w:szCs w:val="28"/>
        </w:rPr>
        <w:t>付至总价款的</w:t>
      </w:r>
      <w:r>
        <w:rPr>
          <w:rFonts w:hint="eastAsia" w:eastAsia="仿宋_GB2312"/>
          <w:color w:val="auto"/>
          <w:sz w:val="28"/>
          <w:szCs w:val="28"/>
          <w:u w:val="single"/>
        </w:rPr>
        <w:t xml:space="preserve"> </w:t>
      </w:r>
      <w:r>
        <w:rPr>
          <w:rFonts w:hint="eastAsia" w:eastAsia="仿宋_GB2312"/>
          <w:color w:val="auto"/>
          <w:sz w:val="28"/>
          <w:szCs w:val="28"/>
          <w:u w:val="single"/>
          <w:lang w:val="en-US" w:eastAsia="zh-CN"/>
        </w:rPr>
        <w:t>50</w:t>
      </w:r>
      <w:r>
        <w:rPr>
          <w:rFonts w:hint="eastAsia" w:eastAsia="仿宋_GB2312"/>
          <w:color w:val="auto"/>
          <w:sz w:val="28"/>
          <w:szCs w:val="28"/>
          <w:u w:val="single"/>
        </w:rPr>
        <w:t xml:space="preserve"> </w:t>
      </w:r>
      <w:r>
        <w:rPr>
          <w:rFonts w:hint="eastAsia" w:eastAsia="仿宋_GB2312"/>
          <w:color w:val="auto"/>
          <w:sz w:val="28"/>
          <w:szCs w:val="28"/>
        </w:rPr>
        <w:t>%，</w:t>
      </w:r>
      <w:r>
        <w:rPr>
          <w:rFonts w:hint="eastAsia" w:eastAsia="仿宋_GB2312"/>
          <w:color w:val="auto"/>
          <w:sz w:val="28"/>
          <w:szCs w:val="28"/>
          <w:lang w:eastAsia="zh-CN"/>
        </w:rPr>
        <w:t>平台投入使用第一年度和第二年度，完成各项课程、资源库建设的各项要求，经学校相关部门确认后每年支付合同总价款的</w:t>
      </w:r>
      <w:r>
        <w:rPr>
          <w:rFonts w:hint="eastAsia" w:eastAsia="仿宋_GB2312"/>
          <w:color w:val="auto"/>
          <w:sz w:val="28"/>
          <w:szCs w:val="28"/>
          <w:lang w:val="en-US" w:eastAsia="zh-CN"/>
        </w:rPr>
        <w:t>20%，</w:t>
      </w:r>
      <w:r>
        <w:rPr>
          <w:rFonts w:hint="eastAsia" w:eastAsia="仿宋_GB2312"/>
          <w:color w:val="auto"/>
          <w:sz w:val="28"/>
          <w:szCs w:val="28"/>
        </w:rPr>
        <w:t>余</w:t>
      </w:r>
      <w:r>
        <w:rPr>
          <w:rFonts w:hint="eastAsia" w:eastAsia="仿宋_GB2312"/>
          <w:color w:val="auto"/>
          <w:sz w:val="28"/>
          <w:szCs w:val="28"/>
          <w:u w:val="single"/>
        </w:rPr>
        <w:t xml:space="preserve"> </w:t>
      </w:r>
      <w:r>
        <w:rPr>
          <w:rFonts w:hint="eastAsia" w:eastAsia="仿宋_GB2312"/>
          <w:color w:val="auto"/>
          <w:sz w:val="28"/>
          <w:szCs w:val="28"/>
          <w:u w:val="single"/>
          <w:lang w:val="en-US" w:eastAsia="zh-CN"/>
        </w:rPr>
        <w:t>10</w:t>
      </w:r>
      <w:r>
        <w:rPr>
          <w:rFonts w:hint="eastAsia" w:eastAsia="仿宋_GB2312"/>
          <w:color w:val="auto"/>
          <w:sz w:val="28"/>
          <w:szCs w:val="28"/>
          <w:u w:val="single"/>
        </w:rPr>
        <w:t xml:space="preserve"> </w:t>
      </w:r>
      <w:r>
        <w:rPr>
          <w:rFonts w:hint="eastAsia" w:eastAsia="仿宋_GB2312"/>
          <w:color w:val="auto"/>
          <w:sz w:val="28"/>
          <w:szCs w:val="28"/>
        </w:rPr>
        <w:t>%</w:t>
      </w:r>
      <w:r>
        <w:rPr>
          <w:rFonts w:hint="eastAsia" w:eastAsia="仿宋_GB2312"/>
          <w:color w:val="auto"/>
          <w:sz w:val="28"/>
          <w:szCs w:val="28"/>
        </w:rPr>
        <w:t>作质保金，质保期满（且未因质量问题对招标人造成影响）后，一次付清。</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w:t>
      </w:r>
      <w:r>
        <w:rPr>
          <w:rFonts w:hint="eastAsia" w:eastAsia="仿宋_GB2312"/>
          <w:color w:val="auto"/>
          <w:sz w:val="28"/>
          <w:szCs w:val="28"/>
          <w:u w:val="single"/>
        </w:rPr>
        <w:t xml:space="preserve">  合同生效之日起</w:t>
      </w:r>
      <w:r>
        <w:rPr>
          <w:rFonts w:hint="eastAsia" w:eastAsia="仿宋_GB2312"/>
          <w:color w:val="auto"/>
          <w:sz w:val="28"/>
          <w:szCs w:val="28"/>
          <w:u w:val="single"/>
        </w:rPr>
        <w:t>60天</w:t>
      </w:r>
      <w:r>
        <w:rPr>
          <w:rFonts w:hint="eastAsia" w:eastAsia="仿宋_GB2312"/>
          <w:color w:val="auto"/>
          <w:sz w:val="28"/>
          <w:szCs w:val="28"/>
          <w:u w:val="single"/>
        </w:rPr>
        <w:t xml:space="preserve">内安装调试完毕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w:t>
      </w:r>
      <w:r>
        <w:rPr>
          <w:rFonts w:hint="eastAsia" w:eastAsia="仿宋_GB2312"/>
          <w:color w:val="auto"/>
          <w:sz w:val="28"/>
          <w:szCs w:val="28"/>
          <w:u w:val="single"/>
        </w:rPr>
        <w:t xml:space="preserve"> 江苏建筑职业技术学院内指定地点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交货期是从合同签订之日起至中标人将全部产品送达交货地点并安装调试完成止的这段时间。未经招标人许可，不得更改交货时间。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eastAsia="仿宋_GB2312"/>
          <w:color w:val="auto"/>
          <w:sz w:val="28"/>
          <w:szCs w:val="28"/>
        </w:rPr>
        <w:t>招标人有权对产品的制造过程进行监视和监督（简称监造），中标人应对此给予配合和支持，但监造人员不签署任何质量证明，招标人代表参加监造既不能解除中标人按合同规定承担的责任，也不替代到货后招标人对产品的检验。</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17.2</w:t>
      </w:r>
      <w:r>
        <w:rPr>
          <w:rFonts w:hint="eastAsia" w:eastAsia="仿宋_GB2312"/>
          <w:color w:val="auto"/>
          <w:sz w:val="28"/>
          <w:szCs w:val="28"/>
        </w:rPr>
        <w:t xml:space="preserve"> 招标人有权进行中间检验，但这并不因此减轻中标人所有应负的责任。</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hint="eastAsia" w:ascii="宋体" w:hAnsi="宋体" w:eastAsia="仿宋_GB2312"/>
          <w:color w:val="auto"/>
          <w:sz w:val="28"/>
          <w:szCs w:val="28"/>
        </w:rPr>
        <w:t>中标人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17.4</w:t>
      </w:r>
      <w:r>
        <w:rPr>
          <w:rFonts w:hint="eastAsia" w:eastAsia="仿宋_GB2312"/>
          <w:color w:val="auto"/>
          <w:sz w:val="28"/>
          <w:szCs w:val="28"/>
        </w:rPr>
        <w:t>安装调试完毕，试运行正常</w:t>
      </w:r>
      <w:r>
        <w:rPr>
          <w:rFonts w:hint="eastAsia" w:ascii="宋体" w:hAnsi="宋体" w:eastAsia="仿宋_GB2312"/>
          <w:color w:val="auto"/>
          <w:sz w:val="28"/>
          <w:szCs w:val="28"/>
        </w:rPr>
        <w:t>后，招标人将按照相关规定（与投标人）组织验收。</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17.5</w:t>
      </w:r>
      <w:r>
        <w:rPr>
          <w:rFonts w:hint="eastAsia" w:ascii="宋体" w:hAnsi="宋体" w:eastAsia="仿宋_GB2312"/>
          <w:color w:val="auto"/>
          <w:sz w:val="28"/>
          <w:szCs w:val="28"/>
        </w:rPr>
        <w:t>中标人应派技术专家到现场对产品的安装调试工作进行指导并对招标人安排的操作、维护人员及相关人员进行培训。</w:t>
      </w:r>
      <w:bookmarkStart w:id="54" w:name="_GoBack"/>
      <w:bookmarkEnd w:id="54"/>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17.6</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18.1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18.2</w:t>
      </w:r>
      <w:r>
        <w:rPr>
          <w:rFonts w:hint="eastAsia" w:eastAsia="仿宋_GB2312"/>
          <w:color w:val="auto"/>
          <w:sz w:val="28"/>
          <w:szCs w:val="28"/>
        </w:rPr>
        <w:t xml:space="preserve"> 投标人应按照附录</w:t>
      </w:r>
      <w:r>
        <w:rPr>
          <w:rFonts w:ascii="Times New Roman" w:hAnsi="Times New Roman" w:eastAsia="仿宋_GB2312" w:cs="Times New Roman"/>
          <w:color w:val="auto"/>
          <w:sz w:val="28"/>
          <w:szCs w:val="28"/>
        </w:rPr>
        <w:t>A</w:t>
      </w:r>
      <w:r>
        <w:rPr>
          <w:rFonts w:hint="eastAsia" w:eastAsia="仿宋_GB2312"/>
          <w:color w:val="auto"/>
          <w:sz w:val="28"/>
          <w:szCs w:val="28"/>
        </w:rPr>
        <w:t>的要求提供样品。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18.3</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19</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业务咨询：</w:t>
      </w:r>
      <w:r>
        <w:rPr>
          <w:rFonts w:hint="eastAsia" w:ascii="宋体" w:hAnsi="宋体" w:eastAsia="仿宋_GB2312"/>
          <w:color w:val="auto"/>
          <w:sz w:val="28"/>
          <w:szCs w:val="28"/>
          <w:u w:val="single"/>
        </w:rPr>
        <w:t xml:space="preserve"> 戚老师 </w:t>
      </w:r>
      <w:r>
        <w:rPr>
          <w:rFonts w:hint="eastAsia" w:ascii="宋体" w:hAnsi="宋体" w:eastAsia="仿宋_GB2312"/>
          <w:color w:val="auto"/>
          <w:sz w:val="28"/>
          <w:szCs w:val="28"/>
        </w:rPr>
        <w:t xml:space="preserve">   联系电话：</w:t>
      </w:r>
      <w:r>
        <w:rPr>
          <w:rFonts w:hint="eastAsia" w:ascii="宋体" w:hAnsi="宋体" w:eastAsia="仿宋_GB2312"/>
          <w:color w:val="auto"/>
          <w:sz w:val="28"/>
          <w:szCs w:val="28"/>
          <w:u w:val="single"/>
        </w:rPr>
        <w:t xml:space="preserve"> 18796389966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ind w:left="5040" w:leftChars="0" w:firstLine="420" w:firstLineChars="0"/>
        <w:rPr>
          <w:rFonts w:eastAsia="仿宋_GB2312"/>
          <w:color w:val="auto"/>
          <w:sz w:val="28"/>
          <w:szCs w:val="28"/>
        </w:rPr>
      </w:pPr>
      <w:r>
        <w:rPr>
          <w:rFonts w:hint="eastAsia" w:ascii="宋体" w:hAnsi="宋体" w:eastAsia="仿宋_GB2312"/>
          <w:color w:val="auto"/>
          <w:sz w:val="28"/>
          <w:szCs w:val="28"/>
          <w:u w:val="single"/>
        </w:rPr>
        <w:t xml:space="preserve">  2016 </w:t>
      </w:r>
      <w:r>
        <w:rPr>
          <w:rFonts w:hint="eastAsia" w:ascii="宋体" w:hAnsi="宋体" w:eastAsia="仿宋_GB2312"/>
          <w:color w:val="auto"/>
          <w:sz w:val="28"/>
          <w:szCs w:val="28"/>
        </w:rPr>
        <w:t>年</w:t>
      </w:r>
      <w:r>
        <w:rPr>
          <w:rFonts w:hint="eastAsia" w:ascii="宋体" w:hAnsi="宋体" w:eastAsia="仿宋_GB2312"/>
          <w:color w:val="auto"/>
          <w:sz w:val="28"/>
          <w:szCs w:val="28"/>
          <w:u w:val="single"/>
        </w:rPr>
        <w:t xml:space="preserve"> </w:t>
      </w:r>
      <w:r>
        <w:rPr>
          <w:rFonts w:hint="eastAsia" w:ascii="宋体" w:hAnsi="宋体" w:eastAsia="仿宋_GB2312"/>
          <w:color w:val="auto"/>
          <w:sz w:val="28"/>
          <w:szCs w:val="28"/>
          <w:u w:val="single"/>
          <w:lang w:val="en-US" w:eastAsia="zh-CN"/>
        </w:rPr>
        <w:t>10</w:t>
      </w:r>
      <w:r>
        <w:rPr>
          <w:rFonts w:hint="eastAsia" w:ascii="宋体" w:hAnsi="宋体" w:eastAsia="仿宋_GB2312"/>
          <w:color w:val="auto"/>
          <w:sz w:val="28"/>
          <w:szCs w:val="28"/>
          <w:u w:val="single"/>
        </w:rPr>
        <w:t xml:space="preserve"> </w:t>
      </w:r>
      <w:r>
        <w:rPr>
          <w:rFonts w:hint="eastAsia" w:ascii="宋体" w:hAnsi="宋体" w:eastAsia="仿宋_GB2312"/>
          <w:color w:val="auto"/>
          <w:sz w:val="28"/>
          <w:szCs w:val="28"/>
        </w:rPr>
        <w:t>月</w:t>
      </w:r>
      <w:r>
        <w:rPr>
          <w:rFonts w:hint="eastAsia" w:ascii="宋体" w:hAnsi="宋体" w:eastAsia="仿宋_GB2312"/>
          <w:color w:val="auto"/>
          <w:sz w:val="28"/>
          <w:szCs w:val="28"/>
          <w:u w:val="single"/>
        </w:rPr>
        <w:t xml:space="preserve"> </w:t>
      </w:r>
      <w:r>
        <w:rPr>
          <w:rFonts w:hint="eastAsia" w:ascii="宋体" w:hAnsi="宋体" w:eastAsia="仿宋_GB2312"/>
          <w:color w:val="auto"/>
          <w:sz w:val="28"/>
          <w:szCs w:val="28"/>
          <w:u w:val="single"/>
          <w:lang w:val="en-US" w:eastAsia="zh-CN"/>
        </w:rPr>
        <w:t>21</w:t>
      </w:r>
      <w:r>
        <w:rPr>
          <w:rFonts w:hint="eastAsia" w:ascii="宋体" w:hAnsi="宋体" w:eastAsia="仿宋_GB2312"/>
          <w:color w:val="auto"/>
          <w:sz w:val="28"/>
          <w:szCs w:val="28"/>
        </w:rPr>
        <w:t xml:space="preserve">日  </w:t>
      </w:r>
    </w:p>
    <w:p>
      <w:pPr>
        <w:jc w:val="center"/>
        <w:rPr>
          <w:b/>
          <w:color w:val="auto"/>
          <w:sz w:val="48"/>
          <w:szCs w:val="48"/>
        </w:rPr>
      </w:pPr>
      <w:r>
        <w:rPr>
          <w:rFonts w:hint="eastAsia"/>
          <w:b/>
          <w:color w:val="auto"/>
          <w:sz w:val="48"/>
          <w:szCs w:val="48"/>
        </w:rPr>
        <w:br w:type="page"/>
      </w: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tabs>
          <w:tab w:val="left" w:pos="990"/>
        </w:tabs>
        <w:jc w:val="center"/>
        <w:rPr>
          <w:rFonts w:ascii="宋体" w:hAnsi="宋体"/>
          <w:color w:val="auto"/>
          <w:sz w:val="32"/>
          <w:szCs w:val="32"/>
        </w:rPr>
      </w:pPr>
      <w:r>
        <w:rPr>
          <w:rFonts w:hint="eastAsia" w:ascii="宋体" w:hAnsi="宋体"/>
          <w:b/>
          <w:color w:val="auto"/>
          <w:sz w:val="32"/>
          <w:szCs w:val="32"/>
        </w:rPr>
        <w:t>招标内容及质量与技术要求</w:t>
      </w:r>
    </w:p>
    <w:p>
      <w:pPr>
        <w:tabs>
          <w:tab w:val="left" w:pos="990"/>
        </w:tabs>
        <w:rPr>
          <w:rFonts w:ascii="宋体" w:hAnsi="宋体"/>
          <w:color w:val="auto"/>
          <w:sz w:val="28"/>
          <w:szCs w:val="28"/>
        </w:rPr>
      </w:pPr>
    </w:p>
    <w:p>
      <w:pPr>
        <w:tabs>
          <w:tab w:val="left" w:pos="990"/>
        </w:tabs>
        <w:rPr>
          <w:rFonts w:ascii="宋体" w:hAnsi="宋体"/>
          <w:b/>
          <w:bCs/>
          <w:color w:val="auto"/>
          <w:sz w:val="28"/>
          <w:szCs w:val="28"/>
        </w:rPr>
      </w:pPr>
      <w:r>
        <w:rPr>
          <w:rFonts w:hint="eastAsia" w:ascii="Times New Roman" w:hAnsi="Times New Roman"/>
          <w:b/>
          <w:bCs/>
          <w:color w:val="auto"/>
          <w:sz w:val="28"/>
          <w:szCs w:val="28"/>
        </w:rPr>
        <w:t>A.</w:t>
      </w:r>
      <w:r>
        <w:rPr>
          <w:b/>
          <w:bCs/>
          <w:color w:val="auto"/>
          <w:sz w:val="28"/>
          <w:szCs w:val="28"/>
        </w:rPr>
        <w:t>1</w:t>
      </w:r>
      <w:r>
        <w:rPr>
          <w:rFonts w:hint="eastAsia" w:ascii="宋体" w:hAnsi="宋体"/>
          <w:b/>
          <w:bCs/>
          <w:color w:val="auto"/>
          <w:sz w:val="28"/>
          <w:szCs w:val="28"/>
        </w:rPr>
        <w:t xml:space="preserve"> 招标产品清单</w:t>
      </w:r>
    </w:p>
    <w:p>
      <w:pPr>
        <w:spacing w:line="360" w:lineRule="auto"/>
        <w:ind w:firstLine="315" w:firstLineChars="150"/>
        <w:rPr>
          <w:rFonts w:ascii="宋体" w:hAnsi="宋体" w:cs="宋体"/>
          <w:bCs/>
          <w:color w:val="auto"/>
        </w:rPr>
      </w:pPr>
      <w:r>
        <w:rPr>
          <w:rFonts w:hint="eastAsia" w:ascii="宋体" w:hAnsi="宋体" w:cs="宋体"/>
          <w:bCs/>
          <w:color w:val="auto"/>
        </w:rPr>
        <w:t>1、采购网络教学及</w:t>
      </w:r>
      <w:r>
        <w:rPr>
          <w:rFonts w:hint="eastAsia" w:ascii="宋体" w:hAnsi="宋体" w:cs="宋体"/>
          <w:bCs/>
          <w:color w:val="auto"/>
          <w:lang w:eastAsia="zh-CN"/>
        </w:rPr>
        <w:t>专业教学资源库</w:t>
      </w:r>
      <w:r>
        <w:rPr>
          <w:rFonts w:hint="eastAsia" w:ascii="宋体" w:hAnsi="宋体" w:cs="宋体"/>
          <w:bCs/>
          <w:color w:val="auto"/>
        </w:rPr>
        <w:t>平台。</w:t>
      </w:r>
    </w:p>
    <w:p>
      <w:pPr>
        <w:spacing w:line="360" w:lineRule="auto"/>
        <w:ind w:firstLine="315" w:firstLineChars="150"/>
        <w:rPr>
          <w:rFonts w:ascii="宋体" w:hAnsi="宋体" w:cs="宋体"/>
          <w:bCs/>
          <w:color w:val="auto"/>
        </w:rPr>
      </w:pPr>
      <w:r>
        <w:rPr>
          <w:rFonts w:hint="eastAsia" w:ascii="宋体" w:hAnsi="宋体" w:cs="宋体"/>
          <w:bCs/>
          <w:color w:val="auto"/>
        </w:rPr>
        <w:t>采用购买服务方式，一次性签订五年服务协议，含平台正常运行维护、云托管服务、课程资源库使用、功能常规更新。</w:t>
      </w:r>
    </w:p>
    <w:p>
      <w:pPr>
        <w:tabs>
          <w:tab w:val="left" w:pos="990"/>
        </w:tabs>
        <w:rPr>
          <w:rFonts w:ascii="Times New Roman" w:hAnsi="Times New Roman"/>
          <w:b/>
          <w:bCs/>
          <w:color w:val="auto"/>
          <w:sz w:val="28"/>
          <w:szCs w:val="28"/>
        </w:rPr>
      </w:pPr>
      <w:r>
        <w:rPr>
          <w:rFonts w:hint="eastAsia" w:ascii="Times New Roman" w:hAnsi="Times New Roman"/>
          <w:b/>
          <w:bCs/>
          <w:color w:val="auto"/>
          <w:sz w:val="28"/>
          <w:szCs w:val="28"/>
        </w:rPr>
        <w:t>A.2 平台的基本要求</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网络教学平台是应用计算机技术、多媒体技术、网络通信技术、数字技术、虚拟现实技术等现代信息技术手段构建的一种新型教学模式，是融合现代教育理念、教学内容和现代信息技术的具有多种功能的开放式的教与学交互系统。</w:t>
      </w:r>
      <w:bookmarkStart w:id="1" w:name="_Toc387155680"/>
      <w:bookmarkStart w:id="2" w:name="_Toc387316724"/>
      <w:r>
        <w:rPr>
          <w:rFonts w:hint="eastAsia" w:asciiTheme="minorEastAsia" w:hAnsiTheme="minorEastAsia" w:cstheme="minorEastAsia"/>
          <w:color w:val="auto"/>
          <w:szCs w:val="21"/>
        </w:rPr>
        <w:t>平台应满足以下基本要求：</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w:t>
      </w:r>
      <w:r>
        <w:rPr>
          <w:rFonts w:hint="eastAsia" w:asciiTheme="minorEastAsia" w:hAnsiTheme="minorEastAsia" w:cstheme="minorEastAsia"/>
          <w:color w:val="auto"/>
          <w:szCs w:val="21"/>
        </w:rPr>
        <w:t>建课便捷，操作简单，课程模板多样化。支持整个课程创建、内容共享、学习过程跟踪和控制、在线测试和作业发布、交流互动、成绩评测和学习成果反馈教学流程，实现信息技术与教学过程的深度融合。</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成熟稳定的软件产品，具有国家软件著作权登记证书，已在至少5所高校部署使用，有大量成熟的用户，优质的售后服务及可提供优质名师进校园的资源。</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系统设计满足大规模用户使用、支持分布式部署，应满足万人以上在线学习的性能要求。</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★采用B/S结构，基于J2EE架构</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rPr>
        <w:t>页面采用Web2.0 AJAX开发，不需要另行安装插件就可以支持IE9及以上版本、safari、firefox、chrome等浏览器。</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具有先进性、可移植性、开放性和兼容性，支持标准化多媒体课件。</w:t>
      </w:r>
      <w:r>
        <w:rPr>
          <w:rFonts w:hint="eastAsia" w:asciiTheme="minorEastAsia" w:hAnsiTheme="minorEastAsia" w:cstheme="minorEastAsia"/>
          <w:color w:val="auto"/>
          <w:szCs w:val="21"/>
        </w:rPr>
        <w:t>支持随用户使用量的增大而只需增加相应的硬件即可。</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不限注册课程数量和注册用户数，其中</w:t>
      </w:r>
      <w:r>
        <w:rPr>
          <w:rFonts w:hint="eastAsia" w:asciiTheme="minorEastAsia" w:hAnsiTheme="minorEastAsia" w:cstheme="minorEastAsia"/>
          <w:color w:val="auto"/>
          <w:szCs w:val="21"/>
        </w:rPr>
        <w:t>的网络课程可以实现按课程的导入、导出进行备份。</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全面支持学生的自主学习与合作学习</w:t>
      </w:r>
      <w:bookmarkEnd w:id="1"/>
      <w:bookmarkEnd w:id="2"/>
      <w:r>
        <w:rPr>
          <w:rFonts w:hint="eastAsia" w:asciiTheme="minorEastAsia" w:hAnsiTheme="minorEastAsia" w:cstheme="minorEastAsia"/>
          <w:color w:val="auto"/>
          <w:szCs w:val="21"/>
        </w:rPr>
        <w:t>，体现在教学活动中学生的主体地位和教师的主导地位，为学生构建自主学习、主动探索的环境，教师通过组织学习材料，实时和非实时的教学手段引导和帮助学生学习。</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★平台支持辅助教学、翻转课堂、纯网络教学、网络修学分等几种网络教学模式。</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平台具有视频、文档格式自动转换、码流自动转换的功能， 以适应不同的访问终端（Android，iOS）；所有文档资源自动转码成flash格式播放，视频类资源系统自动转码为mp4、flv等多种格式。</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具有强大的交流协作功能，提供同步、异步的交流讨论工具，使得学生之间、学生与教师之间方便地共享信息、交流、讨论、协商，从而提高网络学习的效果和质量。</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角色管理：可建立学生、教师、管理员、超级管理员等角色，各级管理</w:t>
      </w:r>
      <w:r>
        <w:rPr>
          <w:rFonts w:hint="eastAsia" w:asciiTheme="minorEastAsia" w:hAnsiTheme="minorEastAsia" w:cstheme="minorEastAsia"/>
          <w:color w:val="auto"/>
          <w:szCs w:val="21"/>
        </w:rPr>
        <w:t>员也可以根据自身的需求创建角色和为角色指定权限。</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权限管理：可为每个导航功能点分配访问、管理等不同的权限，管理员可以批量给用户分配、收回权限，具有权限整体移交功能。</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机构和用户管理：管理员可以批量增加、删除、修改组织机构树，可单个、批量增加、删除、修改、查找用户信息。</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提供强大的基于浏览器的数学、化学公式在线编辑器。提供精确的学习进度监控信息，实现学生再次登录平台时能从上次学习的结束点继续学习课程。</w:t>
      </w:r>
      <w:r>
        <w:rPr>
          <w:rFonts w:hint="eastAsia" w:asciiTheme="minorEastAsia" w:hAnsiTheme="minorEastAsia" w:cstheme="minorEastAsia"/>
          <w:color w:val="auto"/>
          <w:szCs w:val="21"/>
        </w:rPr>
        <w:t>可记录、查询用户登录及操作信息。</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系统提供专门的APP移动客户端，需支持iOS和Android系统。</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平台应包含专业教学资源库建设功能，</w:t>
      </w:r>
      <w:r>
        <w:rPr>
          <w:rFonts w:hint="eastAsia" w:asciiTheme="minorEastAsia" w:hAnsiTheme="minorEastAsia" w:cstheme="minorEastAsia"/>
          <w:color w:val="auto"/>
          <w:szCs w:val="21"/>
          <w:lang w:eastAsia="zh-CN"/>
        </w:rPr>
        <w:t>专业教学</w:t>
      </w:r>
      <w:r>
        <w:rPr>
          <w:rFonts w:hint="eastAsia" w:asciiTheme="minorEastAsia" w:hAnsiTheme="minorEastAsia" w:cstheme="minorEastAsia"/>
          <w:color w:val="auto"/>
          <w:szCs w:val="21"/>
        </w:rPr>
        <w:t>资源库与课程资源可以互通</w:t>
      </w:r>
      <w:r>
        <w:rPr>
          <w:rFonts w:hint="eastAsia" w:asciiTheme="minorEastAsia" w:hAnsiTheme="minorEastAsia" w:cstheme="minorEastAsia"/>
          <w:color w:val="auto"/>
          <w:szCs w:val="21"/>
          <w:lang w:eastAsia="zh-CN"/>
        </w:rPr>
        <w:t>。</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平台应</w:t>
      </w:r>
      <w:r>
        <w:rPr>
          <w:rFonts w:hint="eastAsia" w:asciiTheme="minorEastAsia" w:hAnsiTheme="minorEastAsia" w:cstheme="minorEastAsia"/>
          <w:color w:val="auto"/>
          <w:szCs w:val="21"/>
        </w:rPr>
        <w:t>根据学校信息化办要求提供基于教师、学生的相关教学、学习的时长、学习课程名、成绩等字段内容，为全校大数据分析做好准备工作。</w:t>
      </w:r>
    </w:p>
    <w:p>
      <w:pPr>
        <w:numPr>
          <w:ilvl w:val="0"/>
          <w:numId w:val="1"/>
        </w:numPr>
        <w:adjustRightInd w:val="0"/>
        <w:snapToGrid w:val="0"/>
        <w:spacing w:line="360" w:lineRule="auto"/>
        <w:ind w:left="845" w:leftChars="200"/>
        <w:rPr>
          <w:rFonts w:hint="eastAsia" w:asciiTheme="minorEastAsia" w:hAnsiTheme="minorEastAsia" w:cstheme="minorEastAsia"/>
          <w:color w:val="auto"/>
          <w:szCs w:val="21"/>
        </w:rPr>
      </w:pPr>
      <w:r>
        <w:rPr>
          <w:rFonts w:hint="eastAsia" w:asciiTheme="minorEastAsia" w:hAnsiTheme="minorEastAsia" w:cstheme="minorEastAsia"/>
          <w:color w:val="auto"/>
          <w:szCs w:val="21"/>
          <w:lang w:eastAsia="zh-CN"/>
        </w:rPr>
        <w:t>平台软件</w:t>
      </w:r>
      <w:r>
        <w:rPr>
          <w:rFonts w:hint="eastAsia" w:asciiTheme="minorEastAsia" w:hAnsiTheme="minorEastAsia" w:cstheme="minorEastAsia"/>
          <w:color w:val="auto"/>
          <w:szCs w:val="21"/>
        </w:rPr>
        <w:t>使用</w:t>
      </w:r>
      <w:r>
        <w:rPr>
          <w:rFonts w:hint="eastAsia" w:asciiTheme="minorEastAsia" w:hAnsiTheme="minorEastAsia" w:cstheme="minorEastAsia"/>
          <w:color w:val="auto"/>
          <w:szCs w:val="21"/>
          <w:lang w:eastAsia="zh-CN"/>
        </w:rPr>
        <w:t>应</w:t>
      </w:r>
      <w:r>
        <w:rPr>
          <w:rFonts w:hint="eastAsia" w:asciiTheme="minorEastAsia" w:hAnsiTheme="minorEastAsia" w:cstheme="minorEastAsia"/>
          <w:color w:val="auto"/>
          <w:szCs w:val="21"/>
        </w:rPr>
        <w:t>具有全校性，</w:t>
      </w:r>
      <w:r>
        <w:rPr>
          <w:rFonts w:hint="eastAsia" w:asciiTheme="minorEastAsia" w:hAnsiTheme="minorEastAsia" w:cstheme="minorEastAsia"/>
          <w:color w:val="auto"/>
          <w:szCs w:val="21"/>
          <w:lang w:eastAsia="zh-CN"/>
        </w:rPr>
        <w:t>用户入口</w:t>
      </w:r>
      <w:r>
        <w:rPr>
          <w:rFonts w:hint="eastAsia" w:asciiTheme="minorEastAsia" w:hAnsiTheme="minorEastAsia" w:cstheme="minorEastAsia"/>
          <w:color w:val="auto"/>
          <w:szCs w:val="21"/>
        </w:rPr>
        <w:t>纳入统一身份认证平台，实现学生、老师登录用户名和密码与</w:t>
      </w:r>
      <w:r>
        <w:rPr>
          <w:rFonts w:hint="eastAsia" w:asciiTheme="minorEastAsia" w:hAnsiTheme="minorEastAsia" w:cstheme="minorEastAsia"/>
          <w:color w:val="auto"/>
          <w:szCs w:val="21"/>
          <w:lang w:eastAsia="zh-CN"/>
        </w:rPr>
        <w:t>我校</w:t>
      </w:r>
      <w:r>
        <w:rPr>
          <w:rFonts w:hint="eastAsia" w:asciiTheme="minorEastAsia" w:hAnsiTheme="minorEastAsia" w:cstheme="minorEastAsia"/>
          <w:color w:val="auto"/>
          <w:szCs w:val="21"/>
        </w:rPr>
        <w:t>CRP系统平台保持一致，</w:t>
      </w:r>
      <w:r>
        <w:rPr>
          <w:rFonts w:hint="eastAsia" w:asciiTheme="minorEastAsia" w:hAnsiTheme="minorEastAsia" w:cstheme="minorEastAsia"/>
          <w:color w:val="auto"/>
          <w:szCs w:val="21"/>
          <w:lang w:eastAsia="zh-CN"/>
        </w:rPr>
        <w:t>供货</w:t>
      </w:r>
      <w:r>
        <w:rPr>
          <w:rFonts w:hint="eastAsia" w:asciiTheme="minorEastAsia" w:hAnsiTheme="minorEastAsia" w:cstheme="minorEastAsia"/>
          <w:color w:val="auto"/>
          <w:szCs w:val="21"/>
        </w:rPr>
        <w:t>厂商按照学校信息化办要求提供API接口，能够完成与我校的统一身份认证平台的对接和数据互通。</w:t>
      </w:r>
    </w:p>
    <w:p>
      <w:pPr>
        <w:numPr>
          <w:ilvl w:val="0"/>
          <w:numId w:val="1"/>
        </w:numPr>
        <w:adjustRightInd w:val="0"/>
        <w:snapToGrid w:val="0"/>
        <w:spacing w:line="360" w:lineRule="auto"/>
        <w:ind w:left="845" w:leftChars="200"/>
        <w:rPr>
          <w:rFonts w:asciiTheme="minorEastAsia" w:hAnsiTheme="minorEastAsia" w:cstheme="minorEastAsia"/>
          <w:color w:val="auto"/>
          <w:szCs w:val="21"/>
        </w:rPr>
      </w:pPr>
      <w:r>
        <w:rPr>
          <w:rFonts w:hint="eastAsia" w:asciiTheme="minorEastAsia" w:hAnsiTheme="minorEastAsia" w:cstheme="minorEastAsia"/>
          <w:color w:val="auto"/>
          <w:szCs w:val="21"/>
        </w:rPr>
        <w:t>平台可提供学校其他方面使用的相关模块，可根据学校要求进行相关功能的定制</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后期</w:t>
      </w:r>
    </w:p>
    <w:p>
      <w:pPr>
        <w:tabs>
          <w:tab w:val="left" w:pos="990"/>
        </w:tabs>
        <w:rPr>
          <w:rFonts w:hint="eastAsia" w:ascii="Times New Roman" w:hAnsi="Times New Roman"/>
          <w:b/>
          <w:bCs/>
          <w:color w:val="auto"/>
          <w:sz w:val="28"/>
          <w:szCs w:val="28"/>
        </w:rPr>
      </w:pPr>
      <w:bookmarkStart w:id="3" w:name="_Toc387155682"/>
      <w:bookmarkStart w:id="4" w:name="_Toc461297423"/>
      <w:r>
        <w:rPr>
          <w:rFonts w:hint="eastAsia" w:ascii="Times New Roman" w:hAnsi="Times New Roman"/>
          <w:b/>
          <w:bCs/>
          <w:color w:val="auto"/>
          <w:sz w:val="28"/>
          <w:szCs w:val="28"/>
        </w:rPr>
        <w:t>A.3平台的功能技术要求</w:t>
      </w:r>
      <w:bookmarkEnd w:id="3"/>
      <w:bookmarkEnd w:id="4"/>
    </w:p>
    <w:p>
      <w:pPr>
        <w:pStyle w:val="3"/>
        <w:spacing w:beforeLines="50" w:afterLines="50" w:line="360" w:lineRule="auto"/>
        <w:ind w:firstLine="420" w:firstLineChars="200"/>
        <w:rPr>
          <w:rFonts w:asciiTheme="minorEastAsia" w:hAnsiTheme="minorEastAsia" w:cstheme="minorEastAsia"/>
          <w:b w:val="0"/>
          <w:bCs w:val="0"/>
          <w:color w:val="auto"/>
          <w:sz w:val="21"/>
          <w:szCs w:val="21"/>
        </w:rPr>
      </w:pPr>
      <w:bookmarkStart w:id="5" w:name="_Toc387756276"/>
      <w:bookmarkStart w:id="6" w:name="_Toc387755924"/>
      <w:bookmarkStart w:id="7" w:name="_Toc461297424"/>
      <w:bookmarkStart w:id="8" w:name="_Toc387155683"/>
      <w:r>
        <w:rPr>
          <w:rFonts w:hint="eastAsia" w:asciiTheme="minorEastAsia" w:hAnsiTheme="minorEastAsia" w:cstheme="minorEastAsia"/>
          <w:b w:val="0"/>
          <w:bCs w:val="0"/>
          <w:color w:val="auto"/>
          <w:sz w:val="21"/>
          <w:szCs w:val="21"/>
        </w:rPr>
        <w:t>3.1  网络课程建设</w:t>
      </w:r>
      <w:bookmarkEnd w:id="5"/>
      <w:bookmarkEnd w:id="6"/>
      <w:bookmarkEnd w:id="7"/>
      <w:bookmarkEnd w:id="8"/>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1.★课程网站建设只需通过“选择模板、编辑课程信息、编辑课程章节”等几个简单的步骤，就可以快速地建成一门慕课或符合精品资源共享课程要求的个性化课程网站。</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2.提供多套精美网络课程建课模板，教师可依据个人资料的丰富程度及喜欢的风格进行个性化的设置，支持教师在建课程自动生成课程网站。</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3.★开始建课前，可以选择按周、课时自动生成课程章节，快速创建课程章节目录，提升建课效率。</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5.课程负责人可指派其他人作为具有同等或者小于本身课程建设管理权限的课程建设者共建同一门课程，也可为自己指定助教辅助自己进行课程建设和教学管理。</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7.支持课程教学流程管理，可在课程学习过程中任意位置添加随堂测验，可在单元学习完成后布置作业，可以在章节学习完成后安排考试。</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8.★支持慕课制作和慕课教学模式，实现课程知识单元化，每个知识单元聚合丰富的富媒体教学资源，并在同一个页面中进行显示。每个课程单元还可以设置多个标签页。</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9.★课程单元内容建设采用富媒体编辑器，编辑器包含视频、文档、图片、音频、图书、公式、符号、附件、网页、动画等常用组件。</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10.★支持直接将从word中将内容复制粘贴到富媒体编辑器内，并完整保留里面的文字和图片等内容。</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11.★支持rmvb、3gp、mpg、mpeg、mov、wmv、asf、avi、mkv、mp4、flv、vob、f4v等高清和网络格式视频上传，视频上传后自动转码，无需下载可以直接在线进行播放。</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12.★支持多种文档格式的上传，包括DOC、PPT、PDF、TXT等，上传后自动转码，无需下载可以直接在线阅读。</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13.支持超大文件（2G以上）上传并可断点续传。</w:t>
      </w:r>
      <w:bookmarkStart w:id="9" w:name="_Toc387755925"/>
      <w:bookmarkStart w:id="10" w:name="_Toc387756277"/>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14.★支持将资源先批量上传至个人云盘中，然后在课程中引用。</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15.★支持视频中任意时间点插入测验：上传视频后，可以在任意时间点插入测试题，包含单选题、多选题和对错题。</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16.★支持视频中任意时间点插入图片或PPT：可以在任意时间点插入图片或PPT，同时支持对插入的内容在时间轴上随意拖动。插入的PPT可以任意拖动位置，并可以跟视频窗口进行切换。</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17.提供可视化的公式编辑器，可以在线进行公式的录入与编辑。</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18.支持在线录音功能，录完的声音可以直接在线播放。</w:t>
      </w:r>
    </w:p>
    <w:p>
      <w:pPr>
        <w:pStyle w:val="14"/>
        <w:adjustRightInd w:val="0"/>
        <w:snapToGrid w:val="0"/>
        <w:spacing w:line="360" w:lineRule="auto"/>
        <w:ind w:left="420" w:leftChars="2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19.★知识点拓展阅读功能，可以根据一个关键词自动生成相关知识点的知识树，插入到课程单元中，并自动推送知识点相关的图书、期刊、论文等资料。</w:t>
      </w:r>
    </w:p>
    <w:p>
      <w:pPr>
        <w:pStyle w:val="3"/>
        <w:spacing w:beforeLines="50" w:afterLines="50" w:line="360" w:lineRule="auto"/>
        <w:ind w:firstLine="420" w:firstLineChars="200"/>
        <w:rPr>
          <w:rFonts w:asciiTheme="minorEastAsia" w:hAnsiTheme="minorEastAsia" w:cstheme="minorEastAsia"/>
          <w:b w:val="0"/>
          <w:bCs w:val="0"/>
          <w:color w:val="auto"/>
          <w:sz w:val="21"/>
          <w:szCs w:val="21"/>
        </w:rPr>
      </w:pPr>
      <w:bookmarkStart w:id="11" w:name="_Toc461297425"/>
      <w:r>
        <w:rPr>
          <w:rFonts w:hint="eastAsia" w:asciiTheme="minorEastAsia" w:hAnsiTheme="minorEastAsia" w:cstheme="minorEastAsia"/>
          <w:b w:val="0"/>
          <w:bCs w:val="0"/>
          <w:color w:val="auto"/>
          <w:sz w:val="21"/>
          <w:szCs w:val="21"/>
        </w:rPr>
        <w:t>3.2教学互动</w:t>
      </w:r>
      <w:bookmarkEnd w:id="11"/>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以课程为中心，提供全面的作业、考试、通知、答疑、讨论、资料共享、评价等互动教学活动的功能，支持网络辅助教学、翻转课堂教学、修学分的网络学习等多种教学模式。</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教师端提供课程管理、成员管理、统计、考试及作业管理、课程通告管理、等。提供当前学习过程实时监管。提供进度统计功能并支持报表导出。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学生端实现学生友好学习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p>
    <w:p>
      <w:pPr>
        <w:adjustRightInd w:val="0"/>
        <w:snapToGrid w:val="0"/>
        <w:spacing w:line="360" w:lineRule="auto"/>
        <w:ind w:firstLine="420" w:firstLineChars="200"/>
        <w:rPr>
          <w:rFonts w:asciiTheme="minorEastAsia" w:hAnsiTheme="minorEastAsia" w:cstheme="minorEastAsia"/>
          <w:color w:val="auto"/>
          <w:szCs w:val="21"/>
        </w:rPr>
      </w:pPr>
      <w:bookmarkStart w:id="12" w:name="_Toc281135132"/>
      <w:bookmarkStart w:id="13" w:name="_Toc461297426"/>
      <w:bookmarkStart w:id="14" w:name="_Toc280574144"/>
      <w:bookmarkStart w:id="15" w:name="_Toc265702810"/>
      <w:bookmarkStart w:id="16" w:name="_Toc265702711"/>
      <w:r>
        <w:rPr>
          <w:rFonts w:hint="eastAsia" w:asciiTheme="minorEastAsia" w:hAnsiTheme="minorEastAsia" w:cstheme="minorEastAsia"/>
          <w:color w:val="auto"/>
          <w:szCs w:val="21"/>
        </w:rPr>
        <w:t>1.学习过程控制与管理</w:t>
      </w:r>
      <w:bookmarkEnd w:id="9"/>
      <w:bookmarkEnd w:id="10"/>
      <w:bookmarkEnd w:id="12"/>
      <w:bookmarkEnd w:id="13"/>
      <w:bookmarkEnd w:id="14"/>
      <w:bookmarkEnd w:id="15"/>
      <w:bookmarkEnd w:id="16"/>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1）★章节知识点学习推送控制</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2）★任务驱动式的进阶式学习</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教师可以将课程章节内视频、图书、作业等内容设置为任务点，要求学生必须完成，灵活控制学生学习的情况。学生端可以看到整个课程和每个章节需要完成的任务点情况，每完成一个任务，数量会自动减一。</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3）★学习过程的监督和跟踪</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可以跟踪记录并统计基于每个学生的课程登录次数、学习材料浏览和下载次数、作业和测试完成情况、参加答疑讨论的情况等多项学习考核指标。</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4）★视频播放控制</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5）★证书发放功能</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教师可以将学生的学习成绩导出，提取成绩达标的学生ID，并为其发放证书，学生可以将证书下载并打印。</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6）★课程复习模式</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教师在开课时可以设定课程的开课时间和结课时间，并且在课程结束后，可以自动开启复习模式，在复习模式中，学生可以学生，但学习记录不记入总成绩。</w:t>
      </w:r>
    </w:p>
    <w:p>
      <w:pPr>
        <w:adjustRightInd w:val="0"/>
        <w:snapToGrid w:val="0"/>
        <w:spacing w:line="360" w:lineRule="auto"/>
        <w:ind w:firstLine="420" w:firstLineChars="200"/>
        <w:rPr>
          <w:rFonts w:asciiTheme="minorEastAsia" w:hAnsiTheme="minorEastAsia" w:cstheme="minorEastAsia"/>
          <w:color w:val="auto"/>
          <w:szCs w:val="21"/>
        </w:rPr>
      </w:pPr>
      <w:bookmarkStart w:id="17" w:name="_Toc265702811"/>
      <w:bookmarkStart w:id="18" w:name="_Toc265702712"/>
      <w:bookmarkStart w:id="19" w:name="_Toc281135133"/>
      <w:bookmarkStart w:id="20" w:name="_Toc280574145"/>
      <w:bookmarkStart w:id="21" w:name="_Toc461297427"/>
      <w:r>
        <w:rPr>
          <w:rFonts w:hint="eastAsia" w:asciiTheme="minorEastAsia" w:hAnsiTheme="minorEastAsia" w:cstheme="minorEastAsia"/>
          <w:color w:val="auto"/>
          <w:szCs w:val="21"/>
        </w:rPr>
        <w:t>2.教学资源管理</w:t>
      </w:r>
      <w:bookmarkEnd w:id="17"/>
      <w:bookmarkEnd w:id="18"/>
      <w:bookmarkEnd w:id="19"/>
      <w:bookmarkEnd w:id="20"/>
      <w:bookmarkEnd w:id="21"/>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教学资源管理包括上传课程资源、将资源共享给学生、设置资源使用期限与适用对像、是否公开等功能，同时资源可在不同板块中反复调用，随时随地下载。</w:t>
      </w:r>
    </w:p>
    <w:p>
      <w:pPr>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1）★教学资料</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教师可以对自己所负责的课程的资料进行管理，建立课程文件的目录层级，同时教师可以根据课程需要，赋予一人或多人一定权限，共同参于课程资源建设，即委派角色。</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教师可以直接从备课资源库检索、添加相关在线资源，可以对资料库中的资料进行公开与不公开设置。</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2）★教材教参</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教师可以从备课资源库中查找并添加课程相关的教学参考书，推荐给学生直接进行在线阅读。</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3）★推荐视频</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教师可以从备课资源库中查找并添加课程相关的学术视频，推荐给学生直接进行在线观看。</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4）题库管理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教师可以创建课程试题库，对试题库进行管理，包括添加、修改、删除、查询、浏览等功能。题型包括单选、多选、判断、简答、填空等，题的属性包括类别、难度系数、适用层级等。</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题库导入支持excel及word格式的模板方式导入。</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5）试卷管理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具有从题库或以前的测验中随机生成新的试卷的功能，教师可以对试卷中的试题进行添加、修改、删除、任意排序、预览等功能，还可以对试题设定分值。试卷可多次重复使用。</w:t>
      </w:r>
    </w:p>
    <w:p>
      <w:pPr>
        <w:adjustRightInd w:val="0"/>
        <w:snapToGrid w:val="0"/>
        <w:spacing w:line="360" w:lineRule="auto"/>
        <w:ind w:firstLine="420" w:firstLineChars="200"/>
        <w:rPr>
          <w:rFonts w:asciiTheme="minorEastAsia" w:hAnsiTheme="minorEastAsia" w:cstheme="minorEastAsia"/>
          <w:color w:val="auto"/>
          <w:szCs w:val="21"/>
        </w:rPr>
      </w:pPr>
      <w:bookmarkStart w:id="22" w:name="_Toc265702713"/>
      <w:bookmarkStart w:id="23" w:name="_Toc461297428"/>
      <w:bookmarkStart w:id="24" w:name="_Toc280574146"/>
      <w:bookmarkStart w:id="25" w:name="_Toc265702812"/>
      <w:bookmarkStart w:id="26" w:name="_Toc281135134"/>
      <w:r>
        <w:rPr>
          <w:rFonts w:hint="eastAsia" w:asciiTheme="minorEastAsia" w:hAnsiTheme="minorEastAsia" w:cstheme="minorEastAsia"/>
          <w:color w:val="auto"/>
          <w:szCs w:val="21"/>
        </w:rPr>
        <w:t>3.教学互动功能</w:t>
      </w:r>
      <w:bookmarkEnd w:id="22"/>
      <w:bookmarkEnd w:id="23"/>
      <w:bookmarkEnd w:id="24"/>
      <w:bookmarkEnd w:id="25"/>
      <w:bookmarkEnd w:id="26"/>
    </w:p>
    <w:p>
      <w:pPr>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1）作业</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（1）作业可以是来源于题库、作业库或自定义，每次布置作业，自定义的题目需具有保存到题库的功能。</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（2）教师可以随时查看学生作业的完成情况并对作业进行线上批阅打分，学生在线提交作业后，对于客观题系统能自动判分。线下作业教师可以将成绩登记到线上，以备定期统计，了解学生的学习情况。</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（3）作业需具备生生互评的功能，设为互评的作业，学生间对作业相互打数，教师可参与最后的评估。</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（4）可对作业进行随机出题，从海量题库中随机抽取若干道题目，保证每位学生收到不同的作业，实现学生之间防作弊功能。</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（5）作业支持文档、附件、视频、音频等形式，同时音视频支持在线播放功能。</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（6）支持填空题是否为客观题的设定，当设填空题为客观题，系统可自动对其批阅，同时，支持及格分数的设定，并可设置是否允许学生重考。</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（7）★教师可随时设定作业答案是否公开、作业分数是否公开，可设定学生答案的字数范围及是否防止粘贴的功能。</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（8）作业详细统计，可以查看某份作业单个选项的选择人数。</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（9）★作业支持随机出题模式，创建作业时可以从选择的题目中随机选取若干道，从而实现每个学生领取的作业有一些差别。</w:t>
      </w:r>
    </w:p>
    <w:p>
      <w:pPr>
        <w:tabs>
          <w:tab w:val="left" w:pos="425"/>
        </w:tabs>
        <w:spacing w:line="360" w:lineRule="auto"/>
        <w:ind w:left="420" w:leftChars="200"/>
        <w:rPr>
          <w:rFonts w:asciiTheme="minorEastAsia" w:hAnsiTheme="minorEastAsia" w:cstheme="minorEastAsia"/>
          <w:color w:val="auto"/>
          <w:szCs w:val="21"/>
        </w:rPr>
      </w:pPr>
      <w:r>
        <w:rPr>
          <w:rFonts w:hint="eastAsia" w:asciiTheme="minorEastAsia" w:hAnsiTheme="minorEastAsia" w:cstheme="minorEastAsia"/>
          <w:color w:val="auto"/>
          <w:szCs w:val="21"/>
        </w:rPr>
        <w:t>2）测验与考试</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（1）能为学生提供限时和不限时的测验和考试，能按照设定的日期和时间自动开放或关闭测验和考试。</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（2）需具备随机组卷功能，组卷可以从不同章节选择，并可以随机组若干套试卷发放给学生，确保每个人接收的试卷是不致的。</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教师可以发起一个测验或考试，学生可以在线答题，教师可以随时查看学生测验的完成情况，学生解答后教师可对测验进行线上批阅打分，对于客观题系统能自动判分。测验、考试题目可以是来源于题库、试卷或自定义。</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（4）需对每一次测验查看详细的答题情况，每一道题答对、答错的人数，每一个选项的选择人数等。</w:t>
      </w:r>
    </w:p>
    <w:p>
      <w:pPr>
        <w:numPr>
          <w:ilvl w:val="0"/>
          <w:numId w:val="2"/>
        </w:numPr>
        <w:tabs>
          <w:tab w:val="left" w:pos="425"/>
        </w:tabs>
        <w:spacing w:line="360" w:lineRule="auto"/>
        <w:rPr>
          <w:rFonts w:asciiTheme="minorEastAsia" w:hAnsiTheme="minorEastAsia" w:cstheme="minorEastAsia"/>
          <w:color w:val="auto"/>
          <w:szCs w:val="21"/>
        </w:rPr>
      </w:pPr>
      <w:r>
        <w:rPr>
          <w:rFonts w:hint="eastAsia" w:asciiTheme="minorEastAsia" w:hAnsiTheme="minorEastAsia" w:cstheme="minorEastAsia"/>
          <w:color w:val="auto"/>
          <w:szCs w:val="21"/>
        </w:rPr>
        <w:t>通知</w:t>
      </w:r>
    </w:p>
    <w:p>
      <w:pPr>
        <w:snapToGrid w:val="0"/>
        <w:spacing w:line="360" w:lineRule="auto"/>
        <w:ind w:left="4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教师可以在他们的课程中发布课程通知。</w:t>
      </w:r>
    </w:p>
    <w:p>
      <w:pPr>
        <w:numPr>
          <w:ilvl w:val="0"/>
          <w:numId w:val="2"/>
        </w:numPr>
        <w:tabs>
          <w:tab w:val="left" w:pos="425"/>
        </w:tabs>
        <w:spacing w:line="360" w:lineRule="auto"/>
        <w:rPr>
          <w:rFonts w:asciiTheme="minorEastAsia" w:hAnsiTheme="minorEastAsia" w:cstheme="minorEastAsia"/>
          <w:color w:val="auto"/>
          <w:szCs w:val="21"/>
        </w:rPr>
      </w:pPr>
      <w:r>
        <w:rPr>
          <w:rFonts w:hint="eastAsia" w:asciiTheme="minorEastAsia" w:hAnsiTheme="minorEastAsia" w:cstheme="minorEastAsia"/>
          <w:color w:val="auto"/>
          <w:szCs w:val="21"/>
        </w:rPr>
        <w:t>讨论</w:t>
      </w:r>
    </w:p>
    <w:p>
      <w:pPr>
        <w:spacing w:line="360" w:lineRule="auto"/>
        <w:ind w:left="40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学生和教师可以在讨论区中发起讨论，讨论可以跟某一个章节进行关联。教师可针对精彩的讨论或有重要意义的讨论做加精或置顶的操作，也可对非法讨论进行删除。</w:t>
      </w:r>
    </w:p>
    <w:p>
      <w:pPr>
        <w:numPr>
          <w:ilvl w:val="0"/>
          <w:numId w:val="2"/>
        </w:numPr>
        <w:tabs>
          <w:tab w:val="left" w:pos="425"/>
        </w:tabs>
        <w:spacing w:line="360" w:lineRule="auto"/>
        <w:rPr>
          <w:rFonts w:asciiTheme="minorEastAsia" w:hAnsiTheme="minorEastAsia" w:cstheme="minorEastAsia"/>
          <w:color w:val="auto"/>
          <w:szCs w:val="21"/>
        </w:rPr>
      </w:pPr>
      <w:r>
        <w:rPr>
          <w:rFonts w:hint="eastAsia" w:asciiTheme="minorEastAsia" w:hAnsiTheme="minorEastAsia" w:cstheme="minorEastAsia"/>
          <w:color w:val="auto"/>
          <w:szCs w:val="21"/>
        </w:rPr>
        <w:t>笔记</w:t>
      </w:r>
    </w:p>
    <w:p>
      <w:pPr>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学生在学习某一个章节时，可以针对此章节做笔记。</w:t>
      </w:r>
    </w:p>
    <w:p>
      <w:pPr>
        <w:adjustRightInd w:val="0"/>
        <w:snapToGrid w:val="0"/>
        <w:spacing w:line="360" w:lineRule="auto"/>
        <w:ind w:firstLine="420" w:firstLineChars="200"/>
        <w:rPr>
          <w:rFonts w:asciiTheme="minorEastAsia" w:hAnsiTheme="minorEastAsia" w:cstheme="minorEastAsia"/>
          <w:color w:val="auto"/>
          <w:szCs w:val="21"/>
        </w:rPr>
      </w:pPr>
      <w:bookmarkStart w:id="27" w:name="_Toc280574147"/>
      <w:bookmarkStart w:id="28" w:name="_Toc281135135"/>
      <w:bookmarkStart w:id="29" w:name="_Toc461297429"/>
      <w:r>
        <w:rPr>
          <w:rFonts w:hint="eastAsia" w:asciiTheme="minorEastAsia" w:hAnsiTheme="minorEastAsia" w:cstheme="minorEastAsia"/>
          <w:color w:val="auto"/>
          <w:szCs w:val="21"/>
        </w:rPr>
        <w:t>4.统计功能</w:t>
      </w:r>
      <w:bookmarkEnd w:id="27"/>
      <w:bookmarkEnd w:id="28"/>
      <w:bookmarkEnd w:id="29"/>
    </w:p>
    <w:p>
      <w:pPr>
        <w:tabs>
          <w:tab w:val="left" w:pos="425"/>
        </w:tabs>
        <w:spacing w:line="360" w:lineRule="auto"/>
        <w:ind w:left="48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1）分布图</w:t>
      </w:r>
    </w:p>
    <w:p>
      <w:pPr>
        <w:tabs>
          <w:tab w:val="left" w:pos="425"/>
        </w:tabs>
        <w:spacing w:line="360" w:lineRule="auto"/>
        <w:ind w:left="48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可以对任务点、访问数、学生数、讨论数进行统计，并可以查看成绩、章节测验等详细内容；</w:t>
      </w:r>
    </w:p>
    <w:p>
      <w:pPr>
        <w:tabs>
          <w:tab w:val="left" w:pos="425"/>
        </w:tabs>
        <w:spacing w:line="360" w:lineRule="auto"/>
        <w:ind w:left="48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2）★综合统计</w:t>
      </w:r>
    </w:p>
    <w:p>
      <w:pPr>
        <w:tabs>
          <w:tab w:val="left" w:pos="425"/>
        </w:tabs>
        <w:spacing w:line="360" w:lineRule="auto"/>
        <w:ind w:left="480"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    可以查看一门课程的任务点分布及总体成绩分布，并可以看班级上的最快进度、最慢进度及平均进度；可以按月份统计学生的访问情况，并以图表的形式进行展现。         </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    3）★成绩统计</w:t>
      </w:r>
    </w:p>
    <w:p>
      <w:pPr>
        <w:pStyle w:val="15"/>
        <w:spacing w:line="360" w:lineRule="auto"/>
        <w:ind w:firstLineChars="200"/>
        <w:rPr>
          <w:rFonts w:asciiTheme="minorEastAsia" w:hAnsiTheme="minorEastAsia" w:eastAsiaTheme="minorEastAsia" w:cstheme="minorEastAsia"/>
          <w:bCs w:val="0"/>
          <w:color w:val="auto"/>
          <w:sz w:val="21"/>
          <w:szCs w:val="21"/>
        </w:rPr>
      </w:pPr>
      <w:r>
        <w:rPr>
          <w:rFonts w:hint="eastAsia" w:asciiTheme="minorEastAsia" w:hAnsiTheme="minorEastAsia" w:eastAsiaTheme="minorEastAsia" w:cstheme="minorEastAsia"/>
          <w:bCs w:val="0"/>
          <w:color w:val="auto"/>
          <w:sz w:val="21"/>
          <w:szCs w:val="21"/>
        </w:rPr>
        <w:t>可对课程中的视频、作业、测验、在线时长等做权重设置，并统计所有学生的各项成绩、综合成绩及排名；学生端可以查看自己的各项成绩及综合排名，同时其他同学的成绩可设为保秘状态。</w:t>
      </w:r>
    </w:p>
    <w:p>
      <w:pPr>
        <w:pStyle w:val="15"/>
        <w:spacing w:line="360" w:lineRule="auto"/>
        <w:ind w:firstLineChars="200"/>
        <w:rPr>
          <w:rFonts w:asciiTheme="minorEastAsia" w:hAnsiTheme="minorEastAsia" w:eastAsiaTheme="minorEastAsia" w:cstheme="minorEastAsia"/>
          <w:bCs w:val="0"/>
          <w:color w:val="auto"/>
          <w:sz w:val="21"/>
          <w:szCs w:val="21"/>
        </w:rPr>
      </w:pPr>
      <w:r>
        <w:rPr>
          <w:rFonts w:hint="eastAsia" w:asciiTheme="minorEastAsia" w:hAnsiTheme="minorEastAsia" w:eastAsiaTheme="minorEastAsia" w:cstheme="minorEastAsia"/>
          <w:bCs w:val="0"/>
          <w:color w:val="auto"/>
          <w:sz w:val="21"/>
          <w:szCs w:val="21"/>
        </w:rPr>
        <w:t>4）章节测验统计</w:t>
      </w:r>
    </w:p>
    <w:p>
      <w:pPr>
        <w:pStyle w:val="15"/>
        <w:spacing w:line="360" w:lineRule="auto"/>
        <w:ind w:firstLineChars="200"/>
        <w:rPr>
          <w:rFonts w:asciiTheme="minorEastAsia" w:hAnsiTheme="minorEastAsia" w:eastAsiaTheme="minorEastAsia" w:cstheme="minorEastAsia"/>
          <w:bCs w:val="0"/>
          <w:color w:val="auto"/>
          <w:sz w:val="21"/>
          <w:szCs w:val="21"/>
        </w:rPr>
      </w:pPr>
      <w:r>
        <w:rPr>
          <w:rFonts w:hint="eastAsia" w:asciiTheme="minorEastAsia" w:hAnsiTheme="minorEastAsia" w:eastAsiaTheme="minorEastAsia" w:cstheme="minorEastAsia"/>
          <w:bCs w:val="0"/>
          <w:color w:val="auto"/>
          <w:sz w:val="21"/>
          <w:szCs w:val="21"/>
        </w:rPr>
        <w:t>可以统计章节测验中全部已交人数、未交人数及待批人数，并且可以对选择题统计出各选项的选择人数，并可以柱状图、饼图、条形图、折线图的形式呈现。</w:t>
      </w:r>
    </w:p>
    <w:p>
      <w:pPr>
        <w:pStyle w:val="15"/>
        <w:spacing w:line="360" w:lineRule="auto"/>
        <w:ind w:firstLineChars="200"/>
        <w:rPr>
          <w:rFonts w:asciiTheme="minorEastAsia" w:hAnsiTheme="minorEastAsia" w:eastAsiaTheme="minorEastAsia" w:cstheme="minorEastAsia"/>
          <w:bCs w:val="0"/>
          <w:color w:val="auto"/>
          <w:sz w:val="21"/>
          <w:szCs w:val="21"/>
        </w:rPr>
      </w:pPr>
      <w:r>
        <w:rPr>
          <w:rFonts w:hint="eastAsia" w:asciiTheme="minorEastAsia" w:hAnsiTheme="minorEastAsia" w:eastAsiaTheme="minorEastAsia" w:cstheme="minorEastAsia"/>
          <w:bCs w:val="0"/>
          <w:color w:val="auto"/>
          <w:sz w:val="21"/>
          <w:szCs w:val="21"/>
        </w:rPr>
        <w:t>5）★视频观看统计</w:t>
      </w:r>
    </w:p>
    <w:p>
      <w:pPr>
        <w:pStyle w:val="15"/>
        <w:spacing w:line="360" w:lineRule="auto"/>
        <w:ind w:firstLineChars="200"/>
        <w:rPr>
          <w:rFonts w:asciiTheme="minorEastAsia" w:hAnsiTheme="minorEastAsia" w:eastAsiaTheme="minorEastAsia" w:cstheme="minorEastAsia"/>
          <w:bCs w:val="0"/>
          <w:color w:val="auto"/>
          <w:sz w:val="21"/>
          <w:szCs w:val="21"/>
        </w:rPr>
      </w:pPr>
      <w:r>
        <w:rPr>
          <w:rFonts w:hint="eastAsia" w:asciiTheme="minorEastAsia" w:hAnsiTheme="minorEastAsia" w:eastAsiaTheme="minorEastAsia" w:cstheme="minorEastAsia"/>
          <w:bCs w:val="0"/>
          <w:color w:val="auto"/>
          <w:sz w:val="21"/>
          <w:szCs w:val="21"/>
        </w:rPr>
        <w:t>可以统计一门课程的最长观看时长、最短观看时长及平均观看时长，可以统计任何人观看某一视频的总观看时长。</w:t>
      </w:r>
    </w:p>
    <w:p>
      <w:pPr>
        <w:pStyle w:val="4"/>
        <w:spacing w:line="360" w:lineRule="auto"/>
        <w:ind w:firstLine="420" w:firstLineChars="200"/>
        <w:rPr>
          <w:rFonts w:asciiTheme="minorEastAsia" w:hAnsiTheme="minorEastAsia" w:cstheme="minorEastAsia"/>
          <w:b w:val="0"/>
          <w:bCs w:val="0"/>
          <w:color w:val="auto"/>
          <w:sz w:val="21"/>
          <w:szCs w:val="21"/>
        </w:rPr>
      </w:pPr>
      <w:bookmarkStart w:id="30" w:name="_Toc387756278"/>
      <w:bookmarkStart w:id="31" w:name="_Toc387155684"/>
      <w:bookmarkStart w:id="32" w:name="_Toc461297430"/>
      <w:bookmarkStart w:id="33" w:name="_Toc387755926"/>
      <w:r>
        <w:rPr>
          <w:rFonts w:hint="eastAsia" w:asciiTheme="minorEastAsia" w:hAnsiTheme="minorEastAsia" w:cstheme="minorEastAsia"/>
          <w:b w:val="0"/>
          <w:bCs w:val="0"/>
          <w:color w:val="auto"/>
          <w:sz w:val="21"/>
          <w:szCs w:val="21"/>
        </w:rPr>
        <w:t>3.3  学习空间</w:t>
      </w:r>
      <w:bookmarkEnd w:id="30"/>
      <w:bookmarkEnd w:id="31"/>
      <w:bookmarkEnd w:id="32"/>
      <w:bookmarkEnd w:id="33"/>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学习空间可以为每个学生打造个性化的主页，记录其学习历程。同时为了创造一种良好的学习氛围，学习空间融入了SNS的概念，可以满足学生与学生之间、学生与老师的学习互动交流。学习空间采用APP架构，所有学习服务APP化，用户可以把常用的APP应用安装到自己的学习空间主页中，并可以管理自己安装的应用。</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学习空间至少包含以下APP：</w:t>
      </w:r>
    </w:p>
    <w:p>
      <w:pPr>
        <w:adjustRightInd w:val="0"/>
        <w:snapToGrid w:val="0"/>
        <w:spacing w:line="360" w:lineRule="auto"/>
        <w:ind w:firstLine="420" w:firstLineChars="200"/>
        <w:rPr>
          <w:rFonts w:asciiTheme="minorEastAsia" w:hAnsiTheme="minorEastAsia" w:cstheme="minorEastAsia"/>
          <w:color w:val="auto"/>
          <w:szCs w:val="21"/>
        </w:rPr>
      </w:pPr>
      <w:bookmarkStart w:id="34" w:name="_Toc214383467"/>
      <w:bookmarkStart w:id="35" w:name="_Toc336383463"/>
      <w:r>
        <w:rPr>
          <w:rFonts w:hint="eastAsia" w:asciiTheme="minorEastAsia" w:hAnsiTheme="minorEastAsia" w:cstheme="minorEastAsia"/>
          <w:color w:val="auto"/>
          <w:szCs w:val="21"/>
        </w:rPr>
        <w:t>1.日程表</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可以编辑、查看自己的日程。</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2.云盘</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可以将文件上传至云盘中，随时随地进行下载，并可以在课程建设时引用云盘的资源。提供一个PC版客户端，可以设定一个文件夹，文件夹内容自动与云盘内容保持同步，方便批量上传资源。</w:t>
      </w:r>
    </w:p>
    <w:bookmarkEnd w:id="34"/>
    <w:bookmarkEnd w:id="35"/>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3.小组</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4.问卷调查</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学校、老师可以向学生发起一个问卷调查，问卷可以发送给不同范围的学生，学生在线提交，问卷结果可以进行数据的统计分析，如各选项的选择人数等。</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5.PBL教学</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PBL教学是以问题为基础、以学生为中心、教师为引导、学生自主学习的教学模式。以下功能便于开展此类教学。</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1）分组管理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与本项目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2）小组文件管理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小组教师可以上传小组文件；可下载某时间段内某小组所有文件；小组教师可以批阅本小组学生的文件；小组学生查看批阅信息。</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3）小组论坛</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支持小组教师在本小组内发表论题、维护论题、回复论题；支持小组学生在本小组内发表论题、回复论题；允许小组教师和小组学生查看其他小组论题。</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4）小组评价</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小组评价以小组为单位组织，小组内可以相互评价及查看评价结果；允许课程教师查看所有小组的评价；当小组成为历史小组时，其小组评价记录也进入历史小组；评价表格既提供量化指标评价也需要提供主管评语录入；支持教师对本组学生的评价；支持学生对本组其他学生的评价，支持学生自评；其中互评中学生姓名匿名显示；可查看本次以及历次评价结果及统计。</w:t>
      </w:r>
    </w:p>
    <w:p>
      <w:pPr>
        <w:pStyle w:val="4"/>
        <w:spacing w:line="360" w:lineRule="auto"/>
        <w:ind w:firstLine="420" w:firstLineChars="200"/>
        <w:rPr>
          <w:rFonts w:asciiTheme="minorEastAsia" w:hAnsiTheme="minorEastAsia" w:cstheme="minorEastAsia"/>
          <w:b w:val="0"/>
          <w:bCs w:val="0"/>
          <w:color w:val="auto"/>
          <w:sz w:val="21"/>
          <w:szCs w:val="21"/>
        </w:rPr>
      </w:pPr>
      <w:bookmarkStart w:id="36" w:name="_Toc387756280"/>
      <w:bookmarkStart w:id="37" w:name="_Toc461297431"/>
      <w:bookmarkStart w:id="38" w:name="_Toc387155686"/>
      <w:bookmarkStart w:id="39" w:name="_Toc387755928"/>
      <w:r>
        <w:rPr>
          <w:rFonts w:hint="eastAsia" w:asciiTheme="minorEastAsia" w:hAnsiTheme="minorEastAsia" w:cstheme="minorEastAsia"/>
          <w:b w:val="0"/>
          <w:bCs w:val="0"/>
          <w:color w:val="auto"/>
          <w:sz w:val="21"/>
          <w:szCs w:val="21"/>
        </w:rPr>
        <w:t>3.4  教学管理评估</w:t>
      </w:r>
      <w:bookmarkEnd w:id="36"/>
      <w:bookmarkEnd w:id="37"/>
      <w:bookmarkEnd w:id="38"/>
      <w:bookmarkEnd w:id="39"/>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实现对教学过程中影响质量的各环节进行全员、全程、全面系统地监督、控制与评估，包括教师教学工作评估、专业评估、课程评估、学生评估、学院评估。通过这些评估收集教学运行过程中的各类信息，为学校的教学管理与决策服务。</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1.教学统计</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1）可以按院系统计教师的总数及活跃教师数，并横向对比院系的活跃指数；</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2）可以按月份查看某学院下教师的详细教学活动对比；</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3）可以查看某一个人的详细建课信息。</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2.学习统计</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1）可以按院系统计学生的总数及活跃学生数，并横向对比院系的活跃指数；</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2）可以按月份查看某学院下学生的详细学习活动对比；</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3）可以查看某一学生的详细学习信息。</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3.课程统计</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1）可以统计平台上创建的全部网络课程的基本信息及建设情况，如课程章节数，从而对比老师的建课情况；</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2）可通过关键字对课程进行检索，并可点击每一门课程进入课程页面查看更详细的课程信息。</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4.院系对比数据</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能够用图表化的方式非常直观的对各院系的统计数据进行对比。</w:t>
      </w:r>
    </w:p>
    <w:p>
      <w:pPr>
        <w:pStyle w:val="4"/>
        <w:spacing w:line="360" w:lineRule="auto"/>
        <w:ind w:firstLine="420" w:firstLineChars="200"/>
        <w:rPr>
          <w:rFonts w:asciiTheme="minorEastAsia" w:hAnsiTheme="minorEastAsia" w:cstheme="minorEastAsia"/>
          <w:b w:val="0"/>
          <w:bCs w:val="0"/>
          <w:color w:val="auto"/>
          <w:sz w:val="21"/>
          <w:szCs w:val="21"/>
        </w:rPr>
      </w:pPr>
      <w:bookmarkStart w:id="40" w:name="_Toc387155687"/>
      <w:bookmarkStart w:id="41" w:name="_Toc387755929"/>
      <w:bookmarkStart w:id="42" w:name="_Toc387756281"/>
      <w:bookmarkStart w:id="43" w:name="_Toc461297432"/>
      <w:r>
        <w:rPr>
          <w:rFonts w:hint="eastAsia" w:asciiTheme="minorEastAsia" w:hAnsiTheme="minorEastAsia" w:cstheme="minorEastAsia"/>
          <w:b w:val="0"/>
          <w:bCs w:val="0"/>
          <w:color w:val="auto"/>
          <w:sz w:val="21"/>
          <w:szCs w:val="21"/>
        </w:rPr>
        <w:t>3.5  网络教学门户</w:t>
      </w:r>
      <w:bookmarkEnd w:id="40"/>
      <w:bookmarkEnd w:id="41"/>
      <w:bookmarkEnd w:id="42"/>
      <w:r>
        <w:rPr>
          <w:rFonts w:hint="eastAsia" w:asciiTheme="minorEastAsia" w:hAnsiTheme="minorEastAsia" w:cstheme="minorEastAsia"/>
          <w:b w:val="0"/>
          <w:bCs w:val="0"/>
          <w:color w:val="auto"/>
          <w:sz w:val="21"/>
          <w:szCs w:val="21"/>
        </w:rPr>
        <w:t>网站</w:t>
      </w:r>
      <w:bookmarkEnd w:id="43"/>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可提供充分展示学校教学特色的教学门户网站，可以实现新闻公告动态显示、精品课程推荐、热门课程排行、教学资源排行以及学校的教学组织与开设的课程展示。具有校园代表性的大图片展示区。</w:t>
      </w:r>
    </w:p>
    <w:p>
      <w:pPr>
        <w:adjustRightInd w:val="0"/>
        <w:snapToGrid w:val="0"/>
        <w:spacing w:line="360" w:lineRule="auto"/>
        <w:ind w:firstLine="420" w:firstLineChars="200"/>
        <w:rPr>
          <w:rFonts w:asciiTheme="minorEastAsia" w:hAnsiTheme="minorEastAsia" w:cstheme="minorEastAsia"/>
          <w:color w:val="auto"/>
          <w:szCs w:val="21"/>
        </w:rPr>
      </w:pPr>
      <w:bookmarkStart w:id="44" w:name="_Toc387155685"/>
      <w:bookmarkStart w:id="45" w:name="_Toc387755927"/>
      <w:bookmarkStart w:id="46" w:name="_Toc387756279"/>
      <w:r>
        <w:rPr>
          <w:rFonts w:hint="eastAsia" w:asciiTheme="minorEastAsia" w:hAnsiTheme="minorEastAsia" w:cstheme="minorEastAsia"/>
          <w:color w:val="auto"/>
          <w:szCs w:val="21"/>
        </w:rPr>
        <w:t>1.具备信息发布和页面自定义、访问统计分析、统一检索等功能。</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2.具备精品课程的展示以及后台推荐控制功能。</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3.具备多种资源排行展示，如精品课程排行、课程网站排行、课程资料排行等。</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4.展示本校教学组织体系、专业设置及本校课程。</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5.可以对本校课程进行搜索。</w:t>
      </w:r>
    </w:p>
    <w:p>
      <w:pPr>
        <w:pStyle w:val="4"/>
        <w:spacing w:line="360" w:lineRule="auto"/>
        <w:ind w:firstLine="420" w:firstLineChars="200"/>
        <w:rPr>
          <w:rFonts w:asciiTheme="minorEastAsia" w:hAnsiTheme="minorEastAsia" w:cstheme="minorEastAsia"/>
          <w:b w:val="0"/>
          <w:bCs w:val="0"/>
          <w:color w:val="auto"/>
          <w:sz w:val="21"/>
          <w:szCs w:val="21"/>
        </w:rPr>
      </w:pPr>
      <w:bookmarkStart w:id="47" w:name="_Toc461297433"/>
      <w:r>
        <w:rPr>
          <w:rFonts w:hint="eastAsia" w:asciiTheme="minorEastAsia" w:hAnsiTheme="minorEastAsia" w:cstheme="minorEastAsia"/>
          <w:b w:val="0"/>
          <w:bCs w:val="0"/>
          <w:color w:val="auto"/>
          <w:sz w:val="21"/>
          <w:szCs w:val="21"/>
        </w:rPr>
        <w:t>3.6  移动学习</w:t>
      </w:r>
      <w:bookmarkEnd w:id="47"/>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 1.具有移动客户端，支持iOS和Android操作系统，用于手机、Pad等智能移动终端中，实现在线移动学习、讨论、答疑、交互、消息推送、发布并进行移动测试和成绩查询等功能。</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2.PC端与移动端的学习进度保持同步，学生在任何终端上，都可以实现学习记录的持续性，系统也可对任何终端的学习行为进行监控。</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3.可以实现全校范围内的好友互动交流，可以任意添加好友，发送即时消息，添加兴趣小组。</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4.★可以对好友共享的资料及笔记进行查看，讨论，实现学习与互动交流的全面打通。</w:t>
      </w:r>
    </w:p>
    <w:p>
      <w:pPr>
        <w:pStyle w:val="4"/>
        <w:spacing w:line="360" w:lineRule="auto"/>
        <w:ind w:firstLine="420" w:firstLineChars="200"/>
        <w:rPr>
          <w:rFonts w:asciiTheme="minorEastAsia" w:hAnsiTheme="minorEastAsia" w:cstheme="minorEastAsia"/>
          <w:b w:val="0"/>
          <w:bCs w:val="0"/>
          <w:color w:val="auto"/>
          <w:sz w:val="21"/>
          <w:szCs w:val="21"/>
        </w:rPr>
      </w:pPr>
      <w:bookmarkStart w:id="48" w:name="_Toc461297434"/>
      <w:r>
        <w:rPr>
          <w:rFonts w:hint="eastAsia" w:asciiTheme="minorEastAsia" w:hAnsiTheme="minorEastAsia" w:cstheme="minorEastAsia"/>
          <w:b w:val="0"/>
          <w:bCs w:val="0"/>
          <w:color w:val="auto"/>
          <w:sz w:val="21"/>
          <w:szCs w:val="21"/>
        </w:rPr>
        <w:t>3.7  移动课堂互动系统</w:t>
      </w:r>
      <w:bookmarkEnd w:id="48"/>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移动课堂互动系统为了达到提高课堂活跃度，提供覆盖所有课堂教学活动的课堂互动功能。如课堂签到、抢答、选人、测验、投票、多屏互动、讨论、课堂报告等</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1.移动教案</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按照教学计划，教师可提前在移动学习系统上组织教学内容，有序安排资料推送、签到、问答、抢答、投票等教学活动，方便课堂发放并易于复用。</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移动教案功能可以让教师在课前轻松完成课堂上准备进行互动的教学内容。让教师在课堂上轻松发放自己预先准备好的各种问题、作业、资料及投票等，实现精彩生动地师生课堂互动。</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2.课堂签到</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教师在移动端发布课堂签到，学生直接用手机通过扫描课堂大屏的二维码、或输入教师分享的邀请码等方式进行签到。教师端可以显示已签到和未签到学生名单，并显示学生签到时间和与老师的距离。</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3.问题抢答</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教师可以在课堂上发布问题抢答进行提问，学生同时在移动端收到抢答提问，学生此时可以进行迅速抢答。教师端显示抢答顺序结果，获得抢答优先权的学生可以优先回答问题。抢答标题可以拍照上传。</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4.随机选人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教师发布随机选人，移动课堂互动系统会自动在已经签到的学生中随机选择学生。</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5.课堂投票</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教师可以在课堂上实时发布调查问卷，学生通过移动端进行投票。教师端可以立即统计投票结果。投票类型支持正确/错误、赞成/反对、字母单选、字母多选。投票标题可支持拍照上传。</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6.多屏互动</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教师在任何教学环节都可以将自己手机的屏幕内容投射到大屏幕上，向学生进行展示。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教师还可以将PPT从手机投射到大屏幕中，并用手机控制PPT的翻页，使得老师可以摆脱讲台的束缚，也可以使教师不用再带U盘或自己的电脑去上课。</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7.课堂报告</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可以将所有课堂上的师生互动内容记录下来，生成课堂报告，具有强大的数据统计分析功能，为教学评估提供有力依据，实现学习、互动全流程的数据记录、分析、应用功能，更可实时查看任一活动的详细参与情况，辅助管理者进行数据统计并做及时调整。</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8.交流互动</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类似于微信的师生互动界面，师生可以在里面非常方便的进行及时交流和各种课堂互动。可以支持文字、语音聊天，还可以插入图片、拍照、笔记、主题讨论、投票、问答、收藏等内容。</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9.互动问答</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教师可以在课堂上发布问答，进行编辑问答后发布到学生端，学生可以回答问题并提交，教师可以实时查看学生提交结果。互动问答支持单选题、多选题和简答题。提干可以支持拍照上传功能。</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10.互动讨论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在课堂上学生可以任意组合展开小组讨论。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11.资料推送</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教师在课前和课堂上可以选择和自己课程相关的价值资料进行资料推送，推送完成后再课程和互动窗口学生和教师都可以查看资料的详细内容。</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12.课堂积分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教师可以在抢答、问答、投票等互动组件中设定奖励积分，学生参与后可以获得相应的积分奖励。</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课程中的每个学生有四片叶子，分别对应签到次数、课堂积分、作业完成数和任务点完成数。随着数量增加，叶子会越来越大，颜色也会越来越深。</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13.课程管理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教师可以在手机端创建一门课程，并可以设定课程名称、教师名称、课程封面。可以添加教师和助教团队。</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14.学生管理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一门课程可以创建多个班级，老师可以主动添加学生，也可以生成班级的邀请码和二维码，学生通过输入邀请码或扫描二维码方式加入，邀请码和二维码可以设定有效期。</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老师在班级的学生名单中可以查看每个学生的积分叶子，并可以手动修改学生的积分。</w:t>
      </w:r>
    </w:p>
    <w:p>
      <w:pPr>
        <w:pStyle w:val="4"/>
        <w:spacing w:line="360" w:lineRule="auto"/>
        <w:ind w:firstLine="420" w:firstLineChars="200"/>
        <w:rPr>
          <w:rFonts w:asciiTheme="minorEastAsia" w:hAnsiTheme="minorEastAsia" w:cstheme="minorEastAsia"/>
          <w:b w:val="0"/>
          <w:bCs w:val="0"/>
          <w:color w:val="auto"/>
          <w:sz w:val="21"/>
          <w:szCs w:val="21"/>
        </w:rPr>
      </w:pPr>
      <w:bookmarkStart w:id="49" w:name="_Toc461297435"/>
      <w:r>
        <w:rPr>
          <w:rFonts w:hint="eastAsia" w:asciiTheme="minorEastAsia" w:hAnsiTheme="minorEastAsia" w:cstheme="minorEastAsia"/>
          <w:b w:val="0"/>
          <w:bCs w:val="0"/>
          <w:color w:val="auto"/>
          <w:sz w:val="21"/>
          <w:szCs w:val="21"/>
        </w:rPr>
        <w:t>3.8  质量工程</w:t>
      </w:r>
      <w:bookmarkEnd w:id="49"/>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为教学质量与教学改革工程项目的建设、网上申报、评审与成果展示提供一站式支持。质量工程内涵建设与综合门户网站有机整合，统一规划、统一管理、统一标准、资源统筹，提供统一的对外展示窗口。</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1.信息发布 </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发布质量工程相关的通知通告、工作动态、政策文件、任务要求、评审结果等信息。</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2.项目申报</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1)查看申报指南、验收指南、评宙指标体系、项目评审结果等；</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2)设置学生及教师申报权限；</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3)能上传文档、图片、视频，并支持在线浏览和展示；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4)编辑申报材料，网上填写与打印申报书，申报书提交时可以同时提交（上传）附件；</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5)管理员可实现对申报书格式的实时修改。</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3.项目管理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1)能设置申报材料栏目模板和评审指标体系，能对项目进程和项目状态进行实时控制和管理； </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2)查看申报信息、材料和评审意见、评审进度、可对负责人及评审人员专家进行邮件催促</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3)对评审结果进行统计，对评审专家和申报人员进行管理，能从专家库中指定专家，专家分组，专家按院系信息指定。 </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4)对专家组的评审指标，平均分计算方式，投票选项进行自定义； </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4.项目评审</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1)查看评审指南、评审指标体系、评审状态、评审结果以及申报材料，管理员可以设置和修改评审指标体系；</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2)专家在线对评审项目进行评分、填写评审意见、投票、提交评审结果。并能进行输出与打印。</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5.统计及评审结果展示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总体申报情况统计输出，项目专家意见分数分不同维度进行导出统计，支持项目成果展示。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6.角色分配</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可以定义不同权限的审核员，管理员，可以实现本院系下项目院系二级管理。</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7.资料导出</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平台所有评审表格，资料，意见均支持在线导出EXCEL表格，word文档。</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8.经费成果审核，项目变更</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支持经费登记、审核、自动汇总。成果评审、展示。项目负责人，成员，延期，提前检查等变更，支持负责人，成员变更审核通过自动变更，延期，提前结题自动标注等。</w:t>
      </w:r>
    </w:p>
    <w:p>
      <w:pPr>
        <w:pStyle w:val="4"/>
        <w:spacing w:line="360" w:lineRule="auto"/>
        <w:ind w:firstLine="420" w:firstLineChars="200"/>
        <w:rPr>
          <w:rFonts w:asciiTheme="minorEastAsia" w:hAnsiTheme="minorEastAsia" w:cstheme="minorEastAsia"/>
          <w:b w:val="0"/>
          <w:bCs w:val="0"/>
          <w:color w:val="auto"/>
          <w:sz w:val="21"/>
          <w:szCs w:val="21"/>
        </w:rPr>
      </w:pPr>
      <w:bookmarkStart w:id="50" w:name="_Toc461362269"/>
      <w:r>
        <w:rPr>
          <w:rFonts w:hint="eastAsia" w:asciiTheme="minorEastAsia" w:hAnsiTheme="minorEastAsia" w:cstheme="minorEastAsia"/>
          <w:b w:val="0"/>
          <w:bCs w:val="0"/>
          <w:color w:val="auto"/>
          <w:sz w:val="21"/>
          <w:szCs w:val="21"/>
        </w:rPr>
        <w:t>3.9</w:t>
      </w:r>
      <w:r>
        <w:rPr>
          <w:rFonts w:hint="eastAsia" w:asciiTheme="minorEastAsia" w:hAnsiTheme="minorEastAsia" w:cstheme="minorEastAsia"/>
          <w:b w:val="0"/>
          <w:bCs w:val="0"/>
          <w:color w:val="auto"/>
          <w:sz w:val="21"/>
          <w:szCs w:val="21"/>
          <w:lang w:eastAsia="zh-CN"/>
        </w:rPr>
        <w:t>专业教学资源库</w:t>
      </w:r>
      <w:r>
        <w:rPr>
          <w:rFonts w:hint="eastAsia" w:asciiTheme="minorEastAsia" w:hAnsiTheme="minorEastAsia" w:cstheme="minorEastAsia"/>
          <w:b w:val="0"/>
          <w:bCs w:val="0"/>
          <w:color w:val="auto"/>
          <w:sz w:val="21"/>
          <w:szCs w:val="21"/>
        </w:rPr>
        <w:t>建设</w:t>
      </w:r>
      <w:bookmarkEnd w:id="50"/>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专业教学资源库</w:t>
      </w:r>
      <w:r>
        <w:rPr>
          <w:rFonts w:hint="eastAsia" w:asciiTheme="minorEastAsia" w:hAnsiTheme="minorEastAsia" w:cstheme="minorEastAsia"/>
          <w:color w:val="auto"/>
          <w:szCs w:val="21"/>
        </w:rPr>
        <w:t>提供教师备课、制作课件、制作网络课程等工作中随时需要查阅、引用的海量资源。</w:t>
      </w:r>
    </w:p>
    <w:p>
      <w:pPr>
        <w:adjustRightInd w:val="0"/>
        <w:snapToGrid w:val="0"/>
        <w:spacing w:line="360" w:lineRule="auto"/>
        <w:ind w:firstLine="420" w:firstLineChars="200"/>
        <w:rPr>
          <w:rFonts w:asciiTheme="minorEastAsia" w:hAnsiTheme="minorEastAsia" w:cstheme="minorEastAsia"/>
          <w:color w:val="auto"/>
          <w:szCs w:val="21"/>
        </w:rPr>
      </w:pPr>
      <w:bookmarkStart w:id="51" w:name="_Toc461362270"/>
      <w:r>
        <w:rPr>
          <w:rFonts w:hint="eastAsia" w:asciiTheme="minorEastAsia" w:hAnsiTheme="minorEastAsia" w:cstheme="minorEastAsia"/>
          <w:color w:val="auto"/>
          <w:szCs w:val="21"/>
        </w:rPr>
        <w:t>1.全国课程资源</w:t>
      </w:r>
      <w:bookmarkEnd w:id="51"/>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提供五年服务，整合全国高校各院系的本、专科课程信息，课程目录包含教育部规定的13个学科门类，至少1.5万门课程。并以课程为中心，整合与课程相关的各种精品资源，包括各高校的名师视频课程、网络精品共享课程，以及与课程相关的电子图书、期刊、论文、视频讲座等。</w:t>
      </w:r>
    </w:p>
    <w:p>
      <w:pPr>
        <w:adjustRightInd w:val="0"/>
        <w:snapToGrid w:val="0"/>
        <w:spacing w:line="360" w:lineRule="auto"/>
        <w:ind w:firstLine="420" w:firstLineChars="200"/>
        <w:rPr>
          <w:rFonts w:asciiTheme="minorEastAsia" w:hAnsiTheme="minorEastAsia" w:cstheme="minorEastAsia"/>
          <w:color w:val="auto"/>
          <w:szCs w:val="21"/>
        </w:rPr>
      </w:pPr>
      <w:bookmarkStart w:id="52" w:name="_Toc461362271"/>
      <w:r>
        <w:rPr>
          <w:rFonts w:hint="eastAsia" w:asciiTheme="minorEastAsia" w:hAnsiTheme="minorEastAsia" w:cstheme="minorEastAsia"/>
          <w:color w:val="auto"/>
          <w:szCs w:val="21"/>
        </w:rPr>
        <w:t>2.备课资源库</w:t>
      </w:r>
      <w:bookmarkEnd w:id="52"/>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提供五年服务，与网络教学平台无缝对接，教师在使用网络教学平台进行课程建设、备课、授课过程中随时可以搜索、引用、无缝插入备课资源库中的资源，全面辅助教师教学和学生学习。需包含以下资源：</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1）100万种电子书。可以进行在线阅读，可以进行文字摘录。</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2）10万集学术视频。需要名校、名师的视频，包含清华大学、北京大学、中国人民大学、北京师范大学、复旦大学、同济大学、上海交通大学、天津大学、南开大学等名校的课程视频及讲座，可以在线进行播放。</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3）300万个文档。</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电子书和学术视频要求必须取得著作权人的授权，没有版权问题。</w:t>
      </w:r>
    </w:p>
    <w:p>
      <w:pPr>
        <w:adjustRightInd w:val="0"/>
        <w:snapToGrid w:val="0"/>
        <w:spacing w:line="360" w:lineRule="auto"/>
        <w:ind w:firstLine="420" w:firstLineChars="200"/>
        <w:rPr>
          <w:rFonts w:asciiTheme="minorEastAsia" w:hAnsiTheme="minorEastAsia" w:cstheme="minorEastAsia"/>
          <w:color w:val="auto"/>
          <w:szCs w:val="21"/>
        </w:rPr>
      </w:pPr>
      <w:bookmarkStart w:id="53" w:name="_Toc461362272"/>
      <w:r>
        <w:rPr>
          <w:rFonts w:hint="eastAsia" w:asciiTheme="minorEastAsia" w:hAnsiTheme="minorEastAsia" w:cstheme="minorEastAsia"/>
          <w:color w:val="auto"/>
          <w:szCs w:val="21"/>
        </w:rPr>
        <w:t>3.专业</w:t>
      </w:r>
      <w:bookmarkEnd w:id="53"/>
      <w:r>
        <w:rPr>
          <w:rFonts w:hint="eastAsia" w:asciiTheme="minorEastAsia" w:hAnsiTheme="minorEastAsia" w:cstheme="minorEastAsia"/>
          <w:color w:val="auto"/>
          <w:szCs w:val="21"/>
          <w:lang w:eastAsia="zh-CN"/>
        </w:rPr>
        <w:t>专业教学资源库</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构造能够满足教学资源建设长期持续发展的应用框架，实现支撑平台的集中化。 以专业为基础进行数字化教学资源的建设和组织，并实现院校级各专业的资源共建、共享、共用，实现学校软资产的不断积累。 </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实现数字化学习资源的标准、规范、技术、工具和方法。建立统一门户的专业资源管理系统，满足高校学生学习、专业教学以及企业员工技术培训与社会人员继续教育的需求。</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各专业的资源大体可分为专业级资源、课程级资源、素材级资源三级基础框架。 </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各专业可根据专业自身的建设内容和特点，拓展出自身的建设框架。在专业级资源和课程级资源中可以设定更多的结构，如在专业资源中拓展培训资源、行业资源等。每个专业可根据自己的特点进行灵活定制。 </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lang w:eastAsia="zh-CN"/>
        </w:rPr>
        <w:t>专业教学资源库</w:t>
      </w:r>
      <w:r>
        <w:rPr>
          <w:rFonts w:hint="eastAsia" w:asciiTheme="minorEastAsia" w:hAnsiTheme="minorEastAsia" w:cstheme="minorEastAsia"/>
          <w:color w:val="auto"/>
          <w:szCs w:val="21"/>
        </w:rPr>
        <w:t>建设资源与课程建设资源可以互相调用。</w:t>
      </w:r>
    </w:p>
    <w:bookmarkEnd w:id="44"/>
    <w:bookmarkEnd w:id="45"/>
    <w:bookmarkEnd w:id="46"/>
    <w:p>
      <w:pPr>
        <w:tabs>
          <w:tab w:val="left" w:pos="990"/>
        </w:tabs>
        <w:rPr>
          <w:rFonts w:hint="eastAsia" w:ascii="Times New Roman" w:hAnsi="Times New Roman"/>
          <w:b/>
          <w:bCs/>
          <w:color w:val="auto"/>
          <w:sz w:val="28"/>
          <w:szCs w:val="28"/>
        </w:rPr>
      </w:pPr>
      <w:r>
        <w:rPr>
          <w:rFonts w:hint="eastAsia" w:ascii="Times New Roman" w:hAnsi="Times New Roman"/>
          <w:b/>
          <w:bCs/>
          <w:color w:val="auto"/>
          <w:sz w:val="28"/>
          <w:szCs w:val="28"/>
        </w:rPr>
        <w:t>A.4 售后技术服务</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1.五年内提供免费的平台维护及小功能优化、补丁；</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2.提供完整、详实的平台使用手册，包括管理员、教务人员、教师、学生等用户的使用手册；</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3.提供平台使用的管理员、教师、学生三个层面的培训2次/年；</w:t>
      </w:r>
    </w:p>
    <w:p>
      <w:pPr>
        <w:adjustRightInd w:val="0"/>
        <w:snapToGrid w:val="0"/>
        <w:spacing w:line="360" w:lineRule="auto"/>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4.在线客服：建立学校的客服qq群，在线解答问题，并配备专门为学校服务的项目经理；</w:t>
      </w:r>
    </w:p>
    <w:p>
      <w:pPr>
        <w:adjustRightInd w:val="0"/>
        <w:snapToGrid w:val="0"/>
        <w:spacing w:line="360" w:lineRule="auto"/>
        <w:ind w:firstLine="420" w:firstLineChars="200"/>
        <w:rPr>
          <w:rFonts w:asciiTheme="minorEastAsia" w:hAnsiTheme="minorEastAsia" w:cstheme="minorEastAsia"/>
          <w:color w:val="auto"/>
          <w:szCs w:val="21"/>
        </w:rPr>
        <w:sectPr>
          <w:pgSz w:w="11907" w:h="16840"/>
          <w:pgMar w:top="935" w:right="1588" w:bottom="1247" w:left="1797" w:header="851" w:footer="992" w:gutter="0"/>
          <w:cols w:space="720" w:num="1"/>
          <w:docGrid w:linePitch="312" w:charSpace="0"/>
        </w:sectPr>
      </w:pPr>
      <w:r>
        <w:rPr>
          <w:rFonts w:hint="eastAsia" w:asciiTheme="minorEastAsia" w:hAnsiTheme="minorEastAsia" w:cstheme="minorEastAsia"/>
          <w:color w:val="auto"/>
          <w:szCs w:val="21"/>
        </w:rPr>
        <w:t>5.</w:t>
      </w:r>
      <w:r>
        <w:rPr>
          <w:rFonts w:asciiTheme="minorEastAsia" w:hAnsiTheme="minorEastAsia" w:cstheme="minorEastAsia"/>
          <w:color w:val="auto"/>
          <w:szCs w:val="21"/>
        </w:rPr>
        <w:t>要求</w:t>
      </w:r>
      <w:r>
        <w:rPr>
          <w:rFonts w:hint="eastAsia" w:asciiTheme="minorEastAsia" w:hAnsiTheme="minorEastAsia" w:cstheme="minorEastAsia"/>
          <w:color w:val="auto"/>
          <w:szCs w:val="21"/>
        </w:rPr>
        <w:t>现场演示系统的项目参数，各投标人需自备笔记本电脑和网络设备进行现场演示，无法现场演示或仅提供PPT，视为不满足该项条款参数要求。</w:t>
      </w:r>
    </w:p>
    <w:p>
      <w:pPr>
        <w:jc w:val="center"/>
        <w:rPr>
          <w:b/>
          <w:color w:val="auto"/>
          <w:sz w:val="48"/>
          <w:szCs w:val="4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一、根据已收到的江苏建筑职业技术学院招标文件，遵照有关规定，我单位研究招标文件后，认可招标文件全部内容。愿意按照所附投标报价单报价，按招标文件的要求承担本次招标范围内的工作。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r>
        <w:rPr>
          <w:rFonts w:hint="eastAsia"/>
          <w:color w:val="auto"/>
        </w:rPr>
        <w:br w:type="page"/>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color w:val="auto"/>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b/>
          <w:color w:val="auto"/>
          <w:sz w:val="36"/>
          <w:szCs w:val="36"/>
        </w:rPr>
      </w:pPr>
      <w:r>
        <w:rPr>
          <w:rFonts w:hint="eastAsia"/>
          <w:b/>
          <w:color w:val="auto"/>
          <w:sz w:val="36"/>
          <w:szCs w:val="36"/>
        </w:rPr>
        <w:t>投 标 报 价 明 细 表</w:t>
      </w:r>
    </w:p>
    <w:p>
      <w:pPr>
        <w:spacing w:line="360" w:lineRule="auto"/>
        <w:rPr>
          <w:rFonts w:ascii="楷体_GB2312" w:hAnsi="宋体" w:eastAsia="楷体_GB2312"/>
          <w:b/>
          <w:color w:val="auto"/>
        </w:rPr>
      </w:pPr>
      <w:r>
        <w:rPr>
          <w:rFonts w:hint="eastAsia" w:ascii="宋体" w:hAnsi="宋体"/>
          <w:b/>
          <w:color w:val="auto"/>
        </w:rPr>
        <w:t>投标人名称：</w:t>
      </w:r>
    </w:p>
    <w:tbl>
      <w:tblPr>
        <w:tblStyle w:val="11"/>
        <w:tblW w:w="14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407"/>
        <w:gridCol w:w="2178"/>
        <w:gridCol w:w="1605"/>
        <w:gridCol w:w="2276"/>
        <w:gridCol w:w="1755"/>
        <w:gridCol w:w="176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1004" w:type="dxa"/>
            <w:vAlign w:val="center"/>
          </w:tcPr>
          <w:p>
            <w:pPr>
              <w:spacing w:line="360" w:lineRule="auto"/>
              <w:jc w:val="center"/>
              <w:rPr>
                <w:rFonts w:ascii="Arial" w:hAnsi="Arial"/>
                <w:b/>
                <w:color w:val="auto"/>
              </w:rPr>
            </w:pPr>
            <w:r>
              <w:rPr>
                <w:rFonts w:hint="eastAsia" w:ascii="Arial" w:hAnsi="Arial"/>
                <w:b/>
                <w:color w:val="auto"/>
              </w:rPr>
              <w:t>序号</w:t>
            </w:r>
          </w:p>
        </w:tc>
        <w:tc>
          <w:tcPr>
            <w:tcW w:w="2407" w:type="dxa"/>
            <w:vAlign w:val="center"/>
          </w:tcPr>
          <w:p>
            <w:pPr>
              <w:spacing w:line="360" w:lineRule="auto"/>
              <w:jc w:val="center"/>
              <w:rPr>
                <w:rFonts w:ascii="Arial" w:hAnsi="Arial"/>
                <w:b/>
                <w:color w:val="auto"/>
              </w:rPr>
            </w:pPr>
            <w:r>
              <w:rPr>
                <w:rFonts w:hint="eastAsia" w:ascii="Arial" w:hAnsi="Arial"/>
                <w:b/>
                <w:color w:val="auto"/>
              </w:rPr>
              <w:t>投标产品</w:t>
            </w:r>
          </w:p>
        </w:tc>
        <w:tc>
          <w:tcPr>
            <w:tcW w:w="2178" w:type="dxa"/>
            <w:vAlign w:val="center"/>
          </w:tcPr>
          <w:p>
            <w:pPr>
              <w:spacing w:line="360" w:lineRule="auto"/>
              <w:jc w:val="center"/>
              <w:rPr>
                <w:rFonts w:ascii="Arial" w:hAnsi="Arial"/>
                <w:b/>
                <w:color w:val="auto"/>
              </w:rPr>
            </w:pPr>
            <w:r>
              <w:rPr>
                <w:rFonts w:hint="eastAsia" w:ascii="Arial" w:hAnsi="Arial"/>
                <w:b/>
                <w:color w:val="auto"/>
              </w:rPr>
              <w:t>数量（台）</w:t>
            </w:r>
          </w:p>
        </w:tc>
        <w:tc>
          <w:tcPr>
            <w:tcW w:w="1605" w:type="dxa"/>
            <w:vAlign w:val="center"/>
          </w:tcPr>
          <w:p>
            <w:pPr>
              <w:spacing w:line="360" w:lineRule="auto"/>
              <w:jc w:val="center"/>
              <w:rPr>
                <w:rFonts w:ascii="Arial" w:hAnsi="Arial"/>
                <w:b/>
                <w:color w:val="auto"/>
              </w:rPr>
            </w:pPr>
            <w:r>
              <w:rPr>
                <w:rFonts w:hint="eastAsia" w:ascii="Arial" w:hAnsi="Arial"/>
                <w:b/>
                <w:color w:val="auto"/>
              </w:rPr>
              <w:t>单价（元）</w:t>
            </w:r>
          </w:p>
        </w:tc>
        <w:tc>
          <w:tcPr>
            <w:tcW w:w="2276" w:type="dxa"/>
            <w:vAlign w:val="center"/>
          </w:tcPr>
          <w:p>
            <w:pPr>
              <w:spacing w:line="360" w:lineRule="auto"/>
              <w:jc w:val="center"/>
              <w:rPr>
                <w:rFonts w:ascii="Arial" w:hAnsi="Arial"/>
                <w:b/>
                <w:color w:val="auto"/>
              </w:rPr>
            </w:pPr>
            <w:r>
              <w:rPr>
                <w:rFonts w:hint="eastAsia" w:ascii="Arial" w:hAnsi="Arial"/>
                <w:b/>
                <w:color w:val="auto"/>
              </w:rPr>
              <w:t>小计（元）</w:t>
            </w:r>
          </w:p>
        </w:tc>
        <w:tc>
          <w:tcPr>
            <w:tcW w:w="1755" w:type="dxa"/>
            <w:vAlign w:val="center"/>
          </w:tcPr>
          <w:p>
            <w:pPr>
              <w:spacing w:line="360" w:lineRule="auto"/>
              <w:jc w:val="center"/>
              <w:rPr>
                <w:rFonts w:ascii="Arial" w:hAnsi="Arial"/>
                <w:b/>
                <w:color w:val="auto"/>
              </w:rPr>
            </w:pPr>
            <w:r>
              <w:rPr>
                <w:rFonts w:hint="eastAsia" w:ascii="Arial" w:hAnsi="Arial"/>
                <w:b/>
                <w:color w:val="auto"/>
              </w:rPr>
              <w:t>交货期限</w:t>
            </w:r>
          </w:p>
        </w:tc>
        <w:tc>
          <w:tcPr>
            <w:tcW w:w="1768" w:type="dxa"/>
            <w:vAlign w:val="center"/>
          </w:tcPr>
          <w:p>
            <w:pPr>
              <w:spacing w:line="360" w:lineRule="auto"/>
              <w:jc w:val="center"/>
              <w:rPr>
                <w:rFonts w:ascii="Arial" w:hAnsi="Arial"/>
                <w:b/>
                <w:color w:val="auto"/>
              </w:rPr>
            </w:pPr>
            <w:r>
              <w:rPr>
                <w:rFonts w:hint="eastAsia" w:ascii="Arial" w:hAnsi="Arial"/>
                <w:b/>
                <w:color w:val="auto"/>
              </w:rPr>
              <w:t>质保期</w:t>
            </w:r>
          </w:p>
        </w:tc>
        <w:tc>
          <w:tcPr>
            <w:tcW w:w="1153" w:type="dxa"/>
            <w:vAlign w:val="center"/>
          </w:tcPr>
          <w:p>
            <w:pPr>
              <w:spacing w:line="360" w:lineRule="auto"/>
              <w:jc w:val="center"/>
              <w:rPr>
                <w:rFonts w:ascii="Arial" w:hAnsi="Arial"/>
                <w:b/>
                <w:color w:val="auto"/>
              </w:rPr>
            </w:pPr>
            <w:r>
              <w:rPr>
                <w:rFonts w:hint="eastAsia" w:ascii="Arial" w:hAnsi="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1004"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1</w:t>
            </w:r>
          </w:p>
        </w:tc>
        <w:tc>
          <w:tcPr>
            <w:tcW w:w="2407" w:type="dxa"/>
            <w:vAlign w:val="center"/>
          </w:tcPr>
          <w:p>
            <w:pPr>
              <w:widowControl/>
              <w:jc w:val="left"/>
              <w:textAlignment w:val="center"/>
              <w:rPr>
                <w:rFonts w:ascii="Arial" w:hAnsi="Arial" w:eastAsia="仿宋_GB2312"/>
                <w:b/>
                <w:color w:val="auto"/>
              </w:rPr>
            </w:pPr>
            <w:r>
              <w:rPr>
                <w:rFonts w:hint="eastAsia" w:ascii="Arial" w:hAnsi="Arial" w:eastAsia="仿宋_GB2312"/>
                <w:b/>
                <w:color w:val="auto"/>
              </w:rPr>
              <w:t>网络教学及</w:t>
            </w:r>
            <w:r>
              <w:rPr>
                <w:rFonts w:hint="eastAsia" w:ascii="Arial" w:hAnsi="Arial" w:eastAsia="仿宋_GB2312"/>
                <w:b/>
                <w:color w:val="auto"/>
                <w:lang w:eastAsia="zh-CN"/>
              </w:rPr>
              <w:t>专业教学资源库</w:t>
            </w:r>
            <w:r>
              <w:rPr>
                <w:rFonts w:hint="eastAsia" w:ascii="Arial" w:hAnsi="Arial" w:eastAsia="仿宋_GB2312"/>
                <w:b/>
                <w:color w:val="auto"/>
              </w:rPr>
              <w:t>平台（服务期5年）</w:t>
            </w: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trPr>
        <w:tc>
          <w:tcPr>
            <w:tcW w:w="1004"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2</w:t>
            </w:r>
          </w:p>
        </w:tc>
        <w:tc>
          <w:tcPr>
            <w:tcW w:w="2407" w:type="dxa"/>
            <w:vAlign w:val="center"/>
          </w:tcPr>
          <w:p>
            <w:pPr>
              <w:widowControl/>
              <w:jc w:val="left"/>
              <w:textAlignment w:val="center"/>
              <w:rPr>
                <w:rFonts w:ascii="Arial" w:hAnsi="Arial" w:eastAsia="仿宋_GB2312"/>
                <w:b/>
                <w:color w:val="auto"/>
              </w:rPr>
            </w:pP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004" w:type="dxa"/>
            <w:vAlign w:val="center"/>
          </w:tcPr>
          <w:p>
            <w:pPr>
              <w:spacing w:line="360" w:lineRule="auto"/>
              <w:jc w:val="center"/>
              <w:rPr>
                <w:rFonts w:ascii="Times New Roman" w:hAnsi="Times New Roman" w:eastAsia="仿宋_GB2312"/>
                <w:b/>
                <w:color w:val="auto"/>
              </w:rPr>
            </w:pPr>
            <w:r>
              <w:rPr>
                <w:rFonts w:ascii="Times New Roman" w:hAnsi="Times New Roman"/>
                <w:color w:val="auto"/>
              </w:rPr>
              <w:t>3</w:t>
            </w:r>
          </w:p>
        </w:tc>
        <w:tc>
          <w:tcPr>
            <w:tcW w:w="2407" w:type="dxa"/>
            <w:vAlign w:val="center"/>
          </w:tcPr>
          <w:p>
            <w:pPr>
              <w:widowControl/>
              <w:jc w:val="left"/>
              <w:textAlignment w:val="center"/>
              <w:rPr>
                <w:rFonts w:ascii="Arial" w:hAnsi="Arial" w:eastAsia="仿宋_GB2312"/>
                <w:b/>
                <w:color w:val="auto"/>
              </w:rPr>
            </w:pP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1004" w:type="dxa"/>
            <w:vAlign w:val="center"/>
          </w:tcPr>
          <w:p>
            <w:pPr>
              <w:spacing w:line="360" w:lineRule="auto"/>
              <w:jc w:val="center"/>
              <w:rPr>
                <w:rFonts w:ascii="Times New Roman" w:hAnsi="Times New Roman"/>
                <w:color w:val="auto"/>
              </w:rPr>
            </w:pPr>
            <w:r>
              <w:rPr>
                <w:rFonts w:ascii="Times New Roman" w:hAnsi="Times New Roman"/>
                <w:color w:val="auto"/>
              </w:rPr>
              <w:t>4</w:t>
            </w:r>
          </w:p>
        </w:tc>
        <w:tc>
          <w:tcPr>
            <w:tcW w:w="2407" w:type="dxa"/>
            <w:vAlign w:val="center"/>
          </w:tcPr>
          <w:p>
            <w:pPr>
              <w:widowControl/>
              <w:jc w:val="left"/>
              <w:textAlignment w:val="center"/>
              <w:rPr>
                <w:rFonts w:ascii="Arial" w:hAnsi="Arial" w:eastAsia="仿宋_GB2312"/>
                <w:b/>
                <w:color w:val="auto"/>
              </w:rPr>
            </w:pPr>
          </w:p>
        </w:tc>
        <w:tc>
          <w:tcPr>
            <w:tcW w:w="2178" w:type="dxa"/>
            <w:vAlign w:val="center"/>
          </w:tcPr>
          <w:p>
            <w:pPr>
              <w:spacing w:line="360" w:lineRule="auto"/>
              <w:jc w:val="center"/>
              <w:rPr>
                <w:rFonts w:ascii="Arial" w:hAnsi="Arial" w:eastAsia="仿宋_GB2312"/>
                <w:b/>
                <w:color w:val="auto"/>
              </w:rPr>
            </w:pPr>
          </w:p>
        </w:tc>
        <w:tc>
          <w:tcPr>
            <w:tcW w:w="1605" w:type="dxa"/>
            <w:vAlign w:val="center"/>
          </w:tcPr>
          <w:p>
            <w:pPr>
              <w:spacing w:line="360" w:lineRule="auto"/>
              <w:jc w:val="center"/>
              <w:rPr>
                <w:rFonts w:ascii="Arial" w:hAnsi="Arial" w:eastAsia="仿宋_GB2312"/>
                <w:b/>
                <w:color w:val="auto"/>
              </w:rPr>
            </w:pPr>
          </w:p>
        </w:tc>
        <w:tc>
          <w:tcPr>
            <w:tcW w:w="2276" w:type="dxa"/>
            <w:vAlign w:val="center"/>
          </w:tcPr>
          <w:p>
            <w:pPr>
              <w:spacing w:line="360" w:lineRule="auto"/>
              <w:jc w:val="center"/>
              <w:rPr>
                <w:rFonts w:ascii="Arial" w:hAnsi="Arial" w:eastAsia="仿宋_GB2312"/>
                <w:b/>
                <w:color w:val="auto"/>
              </w:rPr>
            </w:pPr>
          </w:p>
        </w:tc>
        <w:tc>
          <w:tcPr>
            <w:tcW w:w="1755" w:type="dxa"/>
            <w:vAlign w:val="center"/>
          </w:tcPr>
          <w:p>
            <w:pPr>
              <w:spacing w:line="360" w:lineRule="auto"/>
              <w:jc w:val="center"/>
              <w:rPr>
                <w:rFonts w:ascii="Arial" w:hAnsi="Arial" w:eastAsia="仿宋_GB2312"/>
                <w:b/>
                <w:color w:val="auto"/>
              </w:rPr>
            </w:pPr>
          </w:p>
        </w:tc>
        <w:tc>
          <w:tcPr>
            <w:tcW w:w="1768" w:type="dxa"/>
            <w:vAlign w:val="center"/>
          </w:tcPr>
          <w:p>
            <w:pPr>
              <w:spacing w:line="360" w:lineRule="auto"/>
              <w:jc w:val="center"/>
              <w:rPr>
                <w:rFonts w:ascii="Arial" w:hAnsi="Arial" w:eastAsia="仿宋_GB2312"/>
                <w:b/>
                <w:color w:val="auto"/>
              </w:rPr>
            </w:pPr>
          </w:p>
        </w:tc>
        <w:tc>
          <w:tcPr>
            <w:tcW w:w="1153"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1004" w:type="dxa"/>
            <w:vAlign w:val="center"/>
          </w:tcPr>
          <w:p>
            <w:pPr>
              <w:spacing w:line="360" w:lineRule="auto"/>
              <w:jc w:val="center"/>
              <w:rPr>
                <w:color w:val="auto"/>
              </w:rPr>
            </w:pPr>
            <w:r>
              <w:rPr>
                <w:rFonts w:ascii="Arial" w:hAnsi="Arial" w:eastAsia="仿宋_GB2312"/>
                <w:b/>
                <w:color w:val="auto"/>
              </w:rPr>
              <w:t>…</w:t>
            </w:r>
          </w:p>
        </w:tc>
        <w:tc>
          <w:tcPr>
            <w:tcW w:w="2407"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2178"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1605"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2276"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1755"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1768"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c>
          <w:tcPr>
            <w:tcW w:w="1153" w:type="dxa"/>
            <w:vAlign w:val="center"/>
          </w:tcPr>
          <w:p>
            <w:pPr>
              <w:spacing w:line="360" w:lineRule="auto"/>
              <w:jc w:val="center"/>
              <w:rPr>
                <w:rFonts w:ascii="Arial" w:hAnsi="Arial" w:eastAsia="仿宋_GB2312"/>
                <w:b/>
                <w:color w:val="auto"/>
              </w:rPr>
            </w:pPr>
            <w:r>
              <w:rPr>
                <w:rFonts w:ascii="Arial" w:hAnsi="Arial" w:eastAsia="仿宋_GB2312"/>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1004" w:type="dxa"/>
            <w:vAlign w:val="center"/>
          </w:tcPr>
          <w:p>
            <w:pPr>
              <w:spacing w:line="360" w:lineRule="auto"/>
              <w:jc w:val="center"/>
              <w:rPr>
                <w:color w:val="auto"/>
              </w:rPr>
            </w:pPr>
          </w:p>
        </w:tc>
        <w:tc>
          <w:tcPr>
            <w:tcW w:w="2407" w:type="dxa"/>
            <w:vAlign w:val="center"/>
          </w:tcPr>
          <w:p>
            <w:pPr>
              <w:spacing w:line="360" w:lineRule="auto"/>
              <w:jc w:val="center"/>
              <w:rPr>
                <w:color w:val="auto"/>
              </w:rPr>
            </w:pPr>
            <w:r>
              <w:rPr>
                <w:rFonts w:hint="eastAsia"/>
                <w:color w:val="auto"/>
              </w:rPr>
              <w:t>合计（大写）</w:t>
            </w:r>
          </w:p>
        </w:tc>
        <w:tc>
          <w:tcPr>
            <w:tcW w:w="10735" w:type="dxa"/>
            <w:gridSpan w:val="6"/>
            <w:vAlign w:val="center"/>
          </w:tcPr>
          <w:p>
            <w:pPr>
              <w:spacing w:line="360" w:lineRule="auto"/>
              <w:jc w:val="center"/>
              <w:rPr>
                <w:rFonts w:ascii="Arial" w:hAnsi="Arial" w:eastAsia="仿宋_GB2312"/>
                <w:b/>
                <w:color w:val="auto"/>
              </w:rPr>
            </w:pPr>
          </w:p>
        </w:tc>
      </w:tr>
    </w:tbl>
    <w:p>
      <w:pPr>
        <w:spacing w:line="360" w:lineRule="auto"/>
        <w:rPr>
          <w:rFonts w:ascii="宋体" w:hAnsi="宋体"/>
          <w:color w:val="auto"/>
          <w:sz w:val="28"/>
          <w:szCs w:val="28"/>
        </w:rPr>
      </w:pPr>
    </w:p>
    <w:p>
      <w:pPr>
        <w:spacing w:afterLines="100" w:line="360" w:lineRule="auto"/>
        <w:ind w:firstLine="3738" w:firstLineChars="1246"/>
        <w:rPr>
          <w:rFonts w:hAnsi="宋体"/>
          <w:color w:val="auto"/>
          <w:sz w:val="30"/>
          <w:szCs w:val="30"/>
        </w:rPr>
      </w:pPr>
      <w:r>
        <w:rPr>
          <w:rFonts w:hint="eastAsia" w:hAnsi="宋体"/>
          <w:color w:val="auto"/>
          <w:sz w:val="30"/>
          <w:szCs w:val="30"/>
        </w:rPr>
        <w:t xml:space="preserve">                            投标人（签章）：</w:t>
      </w:r>
    </w:p>
    <w:p>
      <w:pPr>
        <w:rPr>
          <w:b/>
          <w:color w:val="auto"/>
          <w:sz w:val="48"/>
          <w:szCs w:val="48"/>
        </w:rPr>
      </w:pPr>
      <w:r>
        <w:rPr>
          <w:rFonts w:hint="eastAsia" w:hAnsi="宋体"/>
          <w:color w:val="auto"/>
          <w:sz w:val="30"/>
          <w:szCs w:val="30"/>
        </w:rPr>
        <w:t xml:space="preserve">                                                        日期：年月日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SJ0+ZFIH2t-1">
    <w:altName w:val="宋体"/>
    <w:panose1 w:val="00000000000000000000"/>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E-BZ+ZFIH2t-2">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D488"/>
    <w:multiLevelType w:val="singleLevel"/>
    <w:tmpl w:val="5371D488"/>
    <w:lvl w:ilvl="0" w:tentative="0">
      <w:start w:val="1"/>
      <w:numFmt w:val="decimal"/>
      <w:lvlText w:val="%1."/>
      <w:lvlJc w:val="left"/>
      <w:pPr>
        <w:tabs>
          <w:tab w:val="left" w:pos="425"/>
        </w:tabs>
        <w:ind w:left="425" w:hanging="425"/>
      </w:pPr>
      <w:rPr>
        <w:rFonts w:hint="default"/>
        <w:color w:val="auto"/>
      </w:rPr>
    </w:lvl>
  </w:abstractNum>
  <w:abstractNum w:abstractNumId="1">
    <w:nsid w:val="57E88318"/>
    <w:multiLevelType w:val="singleLevel"/>
    <w:tmpl w:val="57E88318"/>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1643"/>
    <w:rsid w:val="00172A27"/>
    <w:rsid w:val="00281B6C"/>
    <w:rsid w:val="00372084"/>
    <w:rsid w:val="003E25CE"/>
    <w:rsid w:val="0087668E"/>
    <w:rsid w:val="00952B43"/>
    <w:rsid w:val="00AC45DA"/>
    <w:rsid w:val="00BE0F3A"/>
    <w:rsid w:val="00C06036"/>
    <w:rsid w:val="00C92559"/>
    <w:rsid w:val="00D85FE3"/>
    <w:rsid w:val="00EC4FF6"/>
    <w:rsid w:val="00F50C17"/>
    <w:rsid w:val="03415235"/>
    <w:rsid w:val="06B9729C"/>
    <w:rsid w:val="06F409B3"/>
    <w:rsid w:val="09425DB0"/>
    <w:rsid w:val="0C69554F"/>
    <w:rsid w:val="0E9662AB"/>
    <w:rsid w:val="110D0DE6"/>
    <w:rsid w:val="12745E3E"/>
    <w:rsid w:val="16B51071"/>
    <w:rsid w:val="19A726A8"/>
    <w:rsid w:val="1EDD4E96"/>
    <w:rsid w:val="240D5D4A"/>
    <w:rsid w:val="254E4764"/>
    <w:rsid w:val="273E3D25"/>
    <w:rsid w:val="288A5868"/>
    <w:rsid w:val="2A553FC5"/>
    <w:rsid w:val="34B7425D"/>
    <w:rsid w:val="37E64572"/>
    <w:rsid w:val="3BDD2C57"/>
    <w:rsid w:val="4A3A61F8"/>
    <w:rsid w:val="4E0D392F"/>
    <w:rsid w:val="515B7BEE"/>
    <w:rsid w:val="52C86E9E"/>
    <w:rsid w:val="59F11C7D"/>
    <w:rsid w:val="5A271DC9"/>
    <w:rsid w:val="5C49441A"/>
    <w:rsid w:val="5D857839"/>
    <w:rsid w:val="61BB41FA"/>
    <w:rsid w:val="62850CFA"/>
    <w:rsid w:val="63F91438"/>
    <w:rsid w:val="67DD1821"/>
    <w:rsid w:val="686511C4"/>
    <w:rsid w:val="6BA35683"/>
    <w:rsid w:val="6E3D533C"/>
    <w:rsid w:val="70554F73"/>
    <w:rsid w:val="72612559"/>
    <w:rsid w:val="73790FFB"/>
    <w:rsid w:val="7D9D52C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outlineLvl w:val="0"/>
    </w:pPr>
    <w:rPr>
      <w:rFonts w:ascii="Cambria" w:hAnsi="Cambria"/>
      <w:b/>
      <w:bCs/>
      <w:color w:val="21798E"/>
      <w:sz w:val="28"/>
      <w:szCs w:val="28"/>
    </w:rPr>
  </w:style>
  <w:style w:type="paragraph" w:styleId="3">
    <w:name w:val="heading 2"/>
    <w:basedOn w:val="1"/>
    <w:next w:val="1"/>
    <w:unhideWhenUsed/>
    <w:qFormat/>
    <w:uiPriority w:val="9"/>
    <w:pPr>
      <w:keepNext/>
      <w:keepLines/>
      <w:outlineLvl w:val="1"/>
    </w:pPr>
    <w:rPr>
      <w:rFonts w:ascii="Cambria" w:hAnsi="Cambria"/>
      <w:b/>
      <w:bCs/>
      <w:color w:val="2DA2BF"/>
      <w:sz w:val="26"/>
      <w:szCs w:val="26"/>
    </w:rPr>
  </w:style>
  <w:style w:type="paragraph" w:styleId="4">
    <w:name w:val="heading 3"/>
    <w:basedOn w:val="1"/>
    <w:next w:val="1"/>
    <w:unhideWhenUsed/>
    <w:qFormat/>
    <w:uiPriority w:val="9"/>
    <w:pPr>
      <w:keepNext/>
      <w:keepLines/>
      <w:outlineLvl w:val="2"/>
    </w:pPr>
    <w:rPr>
      <w:rFonts w:ascii="Cambria" w:hAnsi="Cambria"/>
      <w:b/>
      <w:bCs/>
      <w:color w:val="2DA2BF"/>
      <w:sz w:val="20"/>
      <w:szCs w:val="20"/>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paragraph" w:styleId="6">
    <w:name w:val="heading 6"/>
    <w:basedOn w:val="1"/>
    <w:next w:val="1"/>
    <w:unhideWhenUsed/>
    <w:qFormat/>
    <w:uiPriority w:val="9"/>
    <w:pPr>
      <w:keepNext/>
      <w:keepLines/>
      <w:spacing w:before="240" w:after="64" w:line="320" w:lineRule="auto"/>
      <w:outlineLvl w:val="5"/>
    </w:pPr>
    <w:rPr>
      <w:rFonts w:ascii="Cambria" w:hAnsi="Cambria"/>
      <w:b/>
      <w:bCs/>
      <w:sz w:val="24"/>
      <w:szCs w:val="2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pBdr>
        <w:bottom w:val="single" w:color="2DA2BF" w:sz="8" w:space="4"/>
      </w:pBdr>
      <w:contextualSpacing/>
    </w:pPr>
    <w:rPr>
      <w:rFonts w:ascii="Cambria" w:hAnsi="Cambria"/>
      <w:color w:val="343434"/>
      <w:spacing w:val="5"/>
      <w:kern w:val="28"/>
      <w:sz w:val="52"/>
      <w:szCs w:val="52"/>
    </w:rPr>
  </w:style>
  <w:style w:type="character" w:customStyle="1" w:styleId="12">
    <w:name w:val="页眉 Char"/>
    <w:basedOn w:val="10"/>
    <w:link w:val="8"/>
    <w:qFormat/>
    <w:uiPriority w:val="99"/>
    <w:rPr>
      <w:kern w:val="2"/>
      <w:sz w:val="18"/>
      <w:szCs w:val="18"/>
    </w:rPr>
  </w:style>
  <w:style w:type="character" w:customStyle="1" w:styleId="13">
    <w:name w:val="页脚 Char"/>
    <w:basedOn w:val="10"/>
    <w:link w:val="7"/>
    <w:qFormat/>
    <w:uiPriority w:val="99"/>
    <w:rPr>
      <w:kern w:val="2"/>
      <w:sz w:val="18"/>
      <w:szCs w:val="18"/>
    </w:rPr>
  </w:style>
  <w:style w:type="paragraph" w:customStyle="1" w:styleId="14">
    <w:name w:val="彩色列表 - 强调文字颜色 12"/>
    <w:basedOn w:val="1"/>
    <w:qFormat/>
    <w:uiPriority w:val="34"/>
    <w:pPr>
      <w:ind w:left="720"/>
      <w:contextualSpacing/>
    </w:pPr>
  </w:style>
  <w:style w:type="paragraph" w:customStyle="1" w:styleId="15">
    <w:name w:val="样式 首行缩进:  0.74 厘米"/>
    <w:basedOn w:val="1"/>
    <w:qFormat/>
    <w:uiPriority w:val="0"/>
    <w:pPr>
      <w:ind w:firstLine="420"/>
    </w:pPr>
    <w:rPr>
      <w:rFonts w:ascii="Arial" w:hAnsi="Arial" w:eastAsia="仿宋_GB2312" w:cs="Arial"/>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26</Pages>
  <Words>2508</Words>
  <Characters>14298</Characters>
  <Lines>119</Lines>
  <Paragraphs>33</Paragraphs>
  <ScaleCrop>false</ScaleCrop>
  <LinksUpToDate>false</LinksUpToDate>
  <CharactersWithSpaces>16773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2016-09-25T14:32:00Z</dcterms:created>
  <dc:creator>Lenovo User</dc:creator>
  <cp:lastModifiedBy>Administrator</cp:lastModifiedBy>
  <dcterms:modified xsi:type="dcterms:W3CDTF">2016-10-21T10:07:47Z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